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8441"/>
      <w:bookmarkStart w:id="4" w:name="_Toc1716"/>
      <w:bookmarkStart w:id="5" w:name="_Toc15396475"/>
      <w:bookmarkStart w:id="6" w:name="_Toc15377425"/>
      <w:bookmarkStart w:id="7" w:name="_Toc10924"/>
      <w:bookmarkStart w:id="8" w:name="_Toc1070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9" w:name="_Toc23170"/>
      <w:bookmarkStart w:id="10" w:name="_Toc26781"/>
      <w:bookmarkStart w:id="11" w:name="_Toc21840"/>
      <w:bookmarkStart w:id="12" w:name="_Toc15396476"/>
      <w:bookmarkStart w:id="13" w:name="_Toc15396598"/>
      <w:bookmarkStart w:id="14" w:name="_Toc15378442"/>
      <w:bookmarkStart w:id="15" w:name="_Toc15377194"/>
      <w:bookmarkStart w:id="16" w:name="_Toc15377426"/>
      <w:bookmarkStart w:id="17" w:name="_Toc15306268"/>
      <w:r>
        <w:rPr>
          <w:rFonts w:hint="eastAsia" w:ascii="方正小标宋简体" w:hAnsi="方正小标宋简体" w:eastAsia="方正小标宋简体" w:cs="方正小标宋简体"/>
          <w:color w:val="auto"/>
          <w:sz w:val="72"/>
          <w:szCs w:val="72"/>
          <w:highlight w:val="none"/>
        </w:rPr>
        <w:t>四川省地质矿产勘查开发局区域地质调查队</w:t>
      </w:r>
      <w:bookmarkEnd w:id="9"/>
      <w:bookmarkEnd w:id="10"/>
      <w:bookmarkEnd w:id="11"/>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8" w:name="_Toc21393"/>
      <w:bookmarkStart w:id="19" w:name="_Toc7460"/>
      <w:bookmarkStart w:id="20" w:name="_Toc25376"/>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2"/>
      <w:bookmarkEnd w:id="13"/>
      <w:bookmarkEnd w:id="14"/>
      <w:bookmarkEnd w:id="15"/>
      <w:bookmarkEnd w:id="16"/>
      <w:bookmarkEnd w:id="17"/>
      <w:bookmarkEnd w:id="18"/>
      <w:bookmarkEnd w:id="19"/>
      <w:bookmarkEnd w:id="20"/>
    </w:p>
    <w:p>
      <w:pPr>
        <w:widowControl/>
        <w:jc w:val="center"/>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68931"/>
        <w15:color w:val="DBDBDB"/>
        <w:docPartObj>
          <w:docPartGallery w:val="Table of Contents"/>
          <w:docPartUnique/>
        </w:docPartObj>
      </w:sdtPr>
      <w:sdtEndPr>
        <w:rPr>
          <w:rFonts w:hint="eastAsia"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olor w:val="auto"/>
              <w:sz w:val="48"/>
              <w:szCs w:val="48"/>
              <w:highlight w:val="none"/>
            </w:rPr>
          </w:pPr>
          <w:bookmarkStart w:id="21" w:name="_Toc15396599"/>
          <w:bookmarkStart w:id="22" w:name="_Toc15377196"/>
          <w:r>
            <w:rPr>
              <w:rFonts w:hint="eastAsia" w:ascii="黑体" w:hAnsi="黑体" w:eastAsia="黑体"/>
              <w:color w:val="auto"/>
              <w:sz w:val="48"/>
              <w:szCs w:val="48"/>
              <w:highlight w:val="none"/>
            </w:rPr>
            <w:t>目录</w:t>
          </w:r>
        </w:p>
        <w:p>
          <w:pPr>
            <w:pStyle w:val="10"/>
            <w:rPr>
              <w:rFonts w:hint="eastAsia"/>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spacing w:before="0" w:beforeLines="0" w:after="0" w:afterLines="0" w:line="240" w:lineRule="auto"/>
            <w:ind w:left="0" w:leftChars="0" w:right="0" w:rightChars="0" w:firstLine="0" w:firstLineChars="0"/>
            <w:jc w:val="center"/>
            <w:rPr>
              <w:b/>
            </w:rPr>
          </w:pPr>
          <w:r>
            <w:rPr>
              <w:rFonts w:hint="eastAsia"/>
            </w:rPr>
            <w:fldChar w:fldCharType="begin"/>
          </w:r>
          <w:r>
            <w:rPr>
              <w:rFonts w:hint="eastAsia"/>
            </w:rPr>
            <w:instrText xml:space="preserve">TOC \o "1-2" \h \u </w:instrText>
          </w:r>
          <w:r>
            <w:rPr>
              <w:rFonts w:hint="eastAsia"/>
            </w:rPr>
            <w:fldChar w:fldCharType="separate"/>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_Toc27227 </w:instrText>
          </w:r>
          <w:r>
            <w:rPr>
              <w:rFonts w:hint="eastAsia" w:ascii="宋体" w:hAnsi="宋体" w:eastAsia="宋体" w:cs="宋体"/>
              <w:b/>
              <w:sz w:val="24"/>
              <w:szCs w:val="24"/>
            </w:rPr>
            <w:fldChar w:fldCharType="separate"/>
          </w:r>
          <w:r>
            <w:rPr>
              <w:rFonts w:hint="eastAsia" w:ascii="宋体" w:hAnsi="宋体" w:eastAsia="宋体" w:cs="宋体"/>
              <w:b/>
              <w:sz w:val="24"/>
              <w:szCs w:val="24"/>
              <w:highlight w:val="none"/>
            </w:rPr>
            <w:t xml:space="preserve">第一部分 </w:t>
          </w:r>
          <w:r>
            <w:rPr>
              <w:rFonts w:hint="eastAsia" w:ascii="宋体" w:hAnsi="宋体" w:eastAsia="宋体" w:cs="宋体"/>
              <w:b/>
              <w:sz w:val="24"/>
              <w:szCs w:val="24"/>
              <w:highlight w:val="none"/>
              <w:lang w:eastAsia="zh-CN"/>
            </w:rPr>
            <w:t>单位</w:t>
          </w:r>
          <w:r>
            <w:rPr>
              <w:rFonts w:hint="eastAsia" w:ascii="宋体" w:hAnsi="宋体" w:eastAsia="宋体" w:cs="宋体"/>
              <w:b/>
              <w:bCs w:val="0"/>
              <w:sz w:val="24"/>
              <w:szCs w:val="24"/>
              <w:highlight w:val="none"/>
            </w:rPr>
            <w:t>概况</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_Toc27227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_Toc3337 </w:instrText>
          </w:r>
          <w:r>
            <w:rPr>
              <w:rFonts w:hint="eastAsia" w:ascii="宋体" w:hAnsi="宋体" w:eastAsia="宋体" w:cs="宋体"/>
              <w:sz w:val="21"/>
              <w:szCs w:val="21"/>
            </w:rPr>
            <w:fldChar w:fldCharType="separate"/>
          </w:r>
          <w:r>
            <w:rPr>
              <w:rFonts w:hint="eastAsia" w:ascii="宋体" w:hAnsi="宋体" w:eastAsia="宋体" w:cs="宋体"/>
              <w:bCs w:val="0"/>
              <w:sz w:val="21"/>
              <w:szCs w:val="21"/>
              <w:lang w:eastAsia="zh-CN"/>
            </w:rPr>
            <w:t xml:space="preserve">一、 </w:t>
          </w:r>
          <w:r>
            <w:rPr>
              <w:rFonts w:hint="eastAsia" w:ascii="宋体" w:hAnsi="宋体" w:eastAsia="宋体" w:cs="宋体"/>
              <w:bCs w:val="0"/>
              <w:sz w:val="21"/>
              <w:szCs w:val="21"/>
              <w:highlight w:val="none"/>
              <w:lang w:eastAsia="zh-CN"/>
            </w:rPr>
            <w:t>主要职责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_Toc3337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_Toc26891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 xml:space="preserve">二、 </w:t>
          </w:r>
          <w:r>
            <w:rPr>
              <w:rFonts w:hint="eastAsia" w:ascii="宋体" w:hAnsi="宋体" w:eastAsia="宋体" w:cs="宋体"/>
              <w:sz w:val="21"/>
              <w:szCs w:val="21"/>
              <w:highlight w:val="none"/>
              <w:lang w:val="en-US" w:eastAsia="zh-CN"/>
            </w:rPr>
            <w:t>机构设置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_Toc26891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_Toc23893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 xml:space="preserve">第二部分 </w:t>
          </w:r>
          <w:r>
            <w:rPr>
              <w:rFonts w:hint="eastAsia" w:ascii="宋体" w:hAnsi="宋体" w:eastAsia="宋体" w:cs="宋体"/>
              <w:b/>
              <w:bCs/>
              <w:sz w:val="24"/>
              <w:szCs w:val="24"/>
              <w:highlight w:val="none"/>
              <w:lang w:val="en-US" w:eastAsia="zh-CN"/>
            </w:rPr>
            <w:t>2022年度</w:t>
          </w:r>
          <w:r>
            <w:rPr>
              <w:rFonts w:hint="eastAsia" w:ascii="宋体" w:hAnsi="宋体" w:eastAsia="宋体" w:cs="宋体"/>
              <w:b/>
              <w:bCs/>
              <w:sz w:val="24"/>
              <w:szCs w:val="24"/>
              <w:highlight w:val="none"/>
              <w:lang w:eastAsia="zh-CN"/>
            </w:rPr>
            <w:t>单位</w:t>
          </w:r>
          <w:r>
            <w:rPr>
              <w:rFonts w:hint="eastAsia" w:ascii="宋体" w:hAnsi="宋体" w:eastAsia="宋体" w:cs="宋体"/>
              <w:b/>
              <w:bCs/>
              <w:sz w:val="24"/>
              <w:szCs w:val="24"/>
              <w:highlight w:val="none"/>
            </w:rPr>
            <w:t>决算情况说明</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_Toc23893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_Toc10803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一、 </w:t>
          </w:r>
          <w:r>
            <w:rPr>
              <w:rFonts w:hint="eastAsia" w:ascii="宋体" w:hAnsi="宋体" w:eastAsia="宋体" w:cs="宋体"/>
              <w:sz w:val="21"/>
              <w:szCs w:val="21"/>
              <w:highlight w:val="none"/>
            </w:rPr>
            <w:t>收入支出决算总体情况说明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_Toc10803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_Toc15954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二、 </w:t>
          </w:r>
          <w:r>
            <w:rPr>
              <w:rFonts w:hint="eastAsia" w:ascii="宋体" w:hAnsi="宋体" w:eastAsia="宋体" w:cs="宋体"/>
              <w:sz w:val="21"/>
              <w:szCs w:val="21"/>
              <w:highlight w:val="none"/>
            </w:rPr>
            <w:t>收入决算情况说明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_Toc15954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_Toc26199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三、 </w:t>
          </w:r>
          <w:r>
            <w:rPr>
              <w:rFonts w:hint="eastAsia" w:ascii="宋体" w:hAnsi="宋体" w:eastAsia="宋体" w:cs="宋体"/>
              <w:sz w:val="21"/>
              <w:szCs w:val="21"/>
              <w:highlight w:val="none"/>
            </w:rPr>
            <w:t>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_Toc26199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_Toc14659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四、财政拨款收入支出决算总体情况说明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_Toc14659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_Toc15155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五、一般公共预算财政拨款支出决算情况说明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_Toc15155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_Toc7249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六、一般公共预算财政拨款基本支出决算情况说明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_Toc7249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_Toc25775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七、财政拨款“三公”经费支出决算情况说明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_Toc25775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_Toc21962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八、政府性基金预算支出决算情况说明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_Toc21962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_Toc8962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九、 </w:t>
          </w:r>
          <w:r>
            <w:rPr>
              <w:rFonts w:hint="eastAsia" w:ascii="宋体" w:hAnsi="宋体" w:eastAsia="宋体" w:cs="宋体"/>
              <w:sz w:val="21"/>
              <w:szCs w:val="21"/>
              <w:highlight w:val="none"/>
            </w:rPr>
            <w:t>国有资本经营预算支出决算情况说明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_Toc8962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_Toc15902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十、 </w:t>
          </w:r>
          <w:r>
            <w:rPr>
              <w:rFonts w:hint="eastAsia" w:ascii="宋体" w:hAnsi="宋体" w:eastAsia="宋体" w:cs="宋体"/>
              <w:sz w:val="21"/>
              <w:szCs w:val="21"/>
              <w:highlight w:val="none"/>
            </w:rPr>
            <w:t>其他重要事项的情况说明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_Toc15902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_Toc31152 </w:instrText>
          </w:r>
          <w:r>
            <w:rPr>
              <w:rFonts w:hint="eastAsia" w:ascii="宋体" w:hAnsi="宋体" w:eastAsia="宋体" w:cs="宋体"/>
              <w:b/>
              <w:sz w:val="24"/>
              <w:szCs w:val="24"/>
            </w:rPr>
            <w:fldChar w:fldCharType="separate"/>
          </w:r>
          <w:r>
            <w:rPr>
              <w:rFonts w:hint="eastAsia" w:ascii="宋体" w:hAnsi="宋体" w:eastAsia="宋体" w:cs="宋体"/>
              <w:b/>
              <w:sz w:val="24"/>
              <w:szCs w:val="24"/>
            </w:rPr>
            <w:t xml:space="preserve">第三部分 </w:t>
          </w:r>
          <w:r>
            <w:rPr>
              <w:rFonts w:hint="eastAsia" w:ascii="宋体" w:hAnsi="宋体" w:eastAsia="宋体" w:cs="宋体"/>
              <w:b/>
              <w:sz w:val="24"/>
              <w:szCs w:val="24"/>
              <w:highlight w:val="none"/>
            </w:rPr>
            <w:t>名词解释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_Toc31152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_Toc8379 </w:instrText>
          </w:r>
          <w:r>
            <w:rPr>
              <w:rFonts w:hint="eastAsia" w:ascii="宋体" w:hAnsi="宋体" w:eastAsia="宋体" w:cs="宋体"/>
              <w:b/>
              <w:sz w:val="24"/>
              <w:szCs w:val="24"/>
            </w:rPr>
            <w:fldChar w:fldCharType="separate"/>
          </w: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部分 附表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_Toc8379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_Toc23818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一、收</w:t>
          </w:r>
          <w:r>
            <w:rPr>
              <w:rFonts w:hint="eastAsia" w:ascii="宋体" w:hAnsi="宋体" w:eastAsia="宋体" w:cs="宋体"/>
              <w:bCs w:val="0"/>
              <w:sz w:val="21"/>
              <w:szCs w:val="21"/>
              <w:highlight w:val="none"/>
            </w:rPr>
            <w:t>入支出决算总表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_Toc23818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_Toc6074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二、收</w:t>
          </w:r>
          <w:r>
            <w:rPr>
              <w:rFonts w:hint="eastAsia" w:ascii="宋体" w:hAnsi="宋体" w:eastAsia="宋体" w:cs="宋体"/>
              <w:bCs w:val="0"/>
              <w:sz w:val="21"/>
              <w:szCs w:val="21"/>
              <w:highlight w:val="none"/>
            </w:rPr>
            <w:t>入决算表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_Toc6074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_Toc19709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三、</w:t>
          </w:r>
          <w:r>
            <w:rPr>
              <w:rFonts w:hint="eastAsia" w:ascii="宋体" w:hAnsi="宋体" w:eastAsia="宋体" w:cs="宋体"/>
              <w:sz w:val="21"/>
              <w:szCs w:val="21"/>
              <w:highlight w:val="none"/>
            </w:rPr>
            <w:t>支</w:t>
          </w:r>
          <w:r>
            <w:rPr>
              <w:rFonts w:hint="eastAsia" w:ascii="宋体" w:hAnsi="宋体" w:eastAsia="宋体" w:cs="宋体"/>
              <w:bCs w:val="0"/>
              <w:sz w:val="21"/>
              <w:szCs w:val="21"/>
              <w:highlight w:val="none"/>
            </w:rPr>
            <w:t>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_Toc19709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_Toc8365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四、</w:t>
          </w:r>
          <w:r>
            <w:rPr>
              <w:rFonts w:hint="eastAsia" w:ascii="宋体" w:hAnsi="宋体" w:eastAsia="宋体" w:cs="宋体"/>
              <w:sz w:val="21"/>
              <w:szCs w:val="21"/>
              <w:highlight w:val="none"/>
            </w:rPr>
            <w:t>财</w:t>
          </w:r>
          <w:r>
            <w:rPr>
              <w:rFonts w:hint="eastAsia" w:ascii="宋体" w:hAnsi="宋体" w:eastAsia="宋体" w:cs="宋体"/>
              <w:bCs w:val="0"/>
              <w:sz w:val="21"/>
              <w:szCs w:val="21"/>
              <w:highlight w:val="none"/>
            </w:rPr>
            <w:t>政拨款收入支出决算总表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_Toc8365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_Toc8417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五、</w:t>
          </w:r>
          <w:r>
            <w:rPr>
              <w:rFonts w:hint="eastAsia" w:ascii="宋体" w:hAnsi="宋体" w:eastAsia="宋体" w:cs="宋体"/>
              <w:sz w:val="21"/>
              <w:szCs w:val="21"/>
              <w:highlight w:val="none"/>
            </w:rPr>
            <w:t>财</w:t>
          </w:r>
          <w:r>
            <w:rPr>
              <w:rFonts w:hint="eastAsia" w:ascii="宋体" w:hAnsi="宋体" w:eastAsia="宋体" w:cs="宋体"/>
              <w:bCs w:val="0"/>
              <w:sz w:val="21"/>
              <w:szCs w:val="21"/>
              <w:highlight w:val="none"/>
            </w:rPr>
            <w:t>政拨款支出决算明细表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_Toc8417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_Toc28012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六、</w:t>
          </w:r>
          <w:r>
            <w:rPr>
              <w:rFonts w:hint="eastAsia" w:ascii="宋体" w:hAnsi="宋体" w:eastAsia="宋体" w:cs="宋体"/>
              <w:sz w:val="21"/>
              <w:szCs w:val="21"/>
              <w:highlight w:val="none"/>
            </w:rPr>
            <w:t>一</w:t>
          </w:r>
          <w:r>
            <w:rPr>
              <w:rFonts w:hint="eastAsia" w:ascii="宋体" w:hAnsi="宋体" w:eastAsia="宋体" w:cs="宋体"/>
              <w:bCs w:val="0"/>
              <w:sz w:val="21"/>
              <w:szCs w:val="21"/>
              <w:highlight w:val="none"/>
            </w:rPr>
            <w:t>般公共预算财政拨款支出决算表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_Toc28012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_Toc9095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七、</w:t>
          </w:r>
          <w:r>
            <w:rPr>
              <w:rFonts w:hint="eastAsia" w:ascii="宋体" w:hAnsi="宋体" w:eastAsia="宋体" w:cs="宋体"/>
              <w:sz w:val="21"/>
              <w:szCs w:val="21"/>
              <w:highlight w:val="none"/>
            </w:rPr>
            <w:t>一</w:t>
          </w:r>
          <w:r>
            <w:rPr>
              <w:rFonts w:hint="eastAsia" w:ascii="宋体" w:hAnsi="宋体" w:eastAsia="宋体" w:cs="宋体"/>
              <w:bCs w:val="0"/>
              <w:sz w:val="21"/>
              <w:szCs w:val="21"/>
              <w:highlight w:val="none"/>
            </w:rPr>
            <w:t>般公共预算财政拨款支出决算明细表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_Toc9095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_Toc25717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八、</w:t>
          </w:r>
          <w:r>
            <w:rPr>
              <w:rFonts w:hint="eastAsia" w:ascii="宋体" w:hAnsi="宋体" w:eastAsia="宋体" w:cs="宋体"/>
              <w:sz w:val="21"/>
              <w:szCs w:val="21"/>
              <w:highlight w:val="none"/>
            </w:rPr>
            <w:t>一</w:t>
          </w:r>
          <w:r>
            <w:rPr>
              <w:rFonts w:hint="eastAsia" w:ascii="宋体" w:hAnsi="宋体" w:eastAsia="宋体" w:cs="宋体"/>
              <w:bCs w:val="0"/>
              <w:sz w:val="21"/>
              <w:szCs w:val="21"/>
              <w:highlight w:val="none"/>
            </w:rPr>
            <w:t>般公共预算财政拨款基本支出决算表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_Toc25717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_Toc5276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九、</w:t>
          </w:r>
          <w:r>
            <w:rPr>
              <w:rFonts w:hint="eastAsia" w:ascii="宋体" w:hAnsi="宋体" w:eastAsia="宋体" w:cs="宋体"/>
              <w:sz w:val="21"/>
              <w:szCs w:val="21"/>
              <w:highlight w:val="none"/>
            </w:rPr>
            <w:t>一</w:t>
          </w:r>
          <w:r>
            <w:rPr>
              <w:rFonts w:hint="eastAsia" w:ascii="宋体" w:hAnsi="宋体" w:eastAsia="宋体" w:cs="宋体"/>
              <w:bCs w:val="0"/>
              <w:sz w:val="21"/>
              <w:szCs w:val="21"/>
              <w:highlight w:val="none"/>
            </w:rPr>
            <w:t>般公共预算财政拨款项目支出决算表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_Toc5276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_Toc5442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十、</w:t>
          </w:r>
          <w:r>
            <w:rPr>
              <w:rFonts w:hint="eastAsia" w:ascii="宋体" w:hAnsi="宋体" w:eastAsia="宋体" w:cs="宋体"/>
              <w:sz w:val="21"/>
              <w:szCs w:val="21"/>
              <w:highlight w:val="none"/>
            </w:rPr>
            <w:t>政</w:t>
          </w:r>
          <w:r>
            <w:rPr>
              <w:rFonts w:hint="eastAsia" w:ascii="宋体" w:hAnsi="宋体" w:eastAsia="宋体" w:cs="宋体"/>
              <w:bCs w:val="0"/>
              <w:sz w:val="21"/>
              <w:szCs w:val="21"/>
              <w:highlight w:val="none"/>
            </w:rPr>
            <w:t>府性基金预算财政拨款收入支出决算表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_Toc5442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_Toc25136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十一、</w:t>
          </w:r>
          <w:r>
            <w:rPr>
              <w:rFonts w:hint="eastAsia" w:ascii="宋体" w:hAnsi="宋体" w:eastAsia="宋体" w:cs="宋体"/>
              <w:sz w:val="21"/>
              <w:szCs w:val="21"/>
              <w:highlight w:val="none"/>
            </w:rPr>
            <w:t>国</w:t>
          </w:r>
          <w:r>
            <w:rPr>
              <w:rFonts w:hint="eastAsia" w:ascii="宋体" w:hAnsi="宋体" w:eastAsia="宋体" w:cs="宋体"/>
              <w:bCs w:val="0"/>
              <w:sz w:val="21"/>
              <w:szCs w:val="21"/>
              <w:highlight w:val="none"/>
            </w:rPr>
            <w:t>有资本经营预算</w:t>
          </w:r>
          <w:r>
            <w:rPr>
              <w:rFonts w:hint="eastAsia" w:ascii="宋体" w:hAnsi="宋体" w:eastAsia="宋体" w:cs="宋体"/>
              <w:bCs w:val="0"/>
              <w:sz w:val="21"/>
              <w:szCs w:val="21"/>
              <w:highlight w:val="none"/>
              <w:lang w:eastAsia="zh-CN"/>
            </w:rPr>
            <w:t>财政拨款收入</w:t>
          </w:r>
          <w:r>
            <w:rPr>
              <w:rFonts w:hint="eastAsia" w:ascii="宋体" w:hAnsi="宋体" w:eastAsia="宋体" w:cs="宋体"/>
              <w:bCs w:val="0"/>
              <w:sz w:val="21"/>
              <w:szCs w:val="21"/>
              <w:highlight w:val="none"/>
            </w:rPr>
            <w:t>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_Toc25136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_Toc18485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十二、</w:t>
          </w:r>
          <w:r>
            <w:rPr>
              <w:rFonts w:hint="eastAsia" w:ascii="宋体" w:hAnsi="宋体" w:eastAsia="宋体" w:cs="宋体"/>
              <w:bCs w:val="0"/>
              <w:sz w:val="21"/>
              <w:szCs w:val="21"/>
              <w:highlight w:val="none"/>
              <w:lang w:eastAsia="zh-CN"/>
            </w:rPr>
            <w:t>国有资本经营预算财政拨款支出决算表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_Toc18485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400" w:lineRule="exact"/>
            <w:ind w:right="0" w:rightChars="0"/>
            <w:textAlignment w:val="auto"/>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_Toc17251 </w:instrText>
          </w:r>
          <w:r>
            <w:rPr>
              <w:rFonts w:hint="eastAsia" w:ascii="宋体" w:hAnsi="宋体" w:eastAsia="宋体" w:cs="宋体"/>
              <w:sz w:val="21"/>
              <w:szCs w:val="21"/>
            </w:rPr>
            <w:fldChar w:fldCharType="separate"/>
          </w:r>
          <w:r>
            <w:rPr>
              <w:rFonts w:hint="eastAsia" w:ascii="宋体" w:hAnsi="宋体" w:eastAsia="宋体" w:cs="宋体"/>
              <w:bCs w:val="0"/>
              <w:sz w:val="21"/>
              <w:szCs w:val="21"/>
              <w:highlight w:val="none"/>
            </w:rPr>
            <w:t>十三、</w:t>
          </w:r>
          <w:r>
            <w:rPr>
              <w:rFonts w:hint="eastAsia" w:ascii="宋体" w:hAnsi="宋体" w:eastAsia="宋体" w:cs="宋体"/>
              <w:bCs w:val="0"/>
              <w:sz w:val="21"/>
              <w:szCs w:val="21"/>
              <w:highlight w:val="none"/>
              <w:lang w:eastAsia="zh-CN"/>
            </w:rPr>
            <w:t>财政拨款“三公”经费支出决算表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_Toc17251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
            <w:rPr>
              <w:rFonts w:hint="eastAsia"/>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b/>
            </w:rPr>
            <w:fldChar w:fldCharType="end"/>
          </w:r>
        </w:p>
      </w:sdtContent>
    </w:sdt>
    <w:p>
      <w:pPr>
        <w:pStyle w:val="2"/>
      </w:pPr>
      <w:bookmarkStart w:id="23" w:name="_Toc10607"/>
    </w:p>
    <w:p>
      <w:pPr>
        <w:pStyle w:val="3"/>
        <w:jc w:val="center"/>
        <w:outlineLvl w:val="0"/>
        <w:rPr>
          <w:rStyle w:val="24"/>
          <w:rFonts w:ascii="黑体" w:hAnsi="黑体" w:eastAsia="黑体"/>
          <w:b/>
          <w:bCs w:val="0"/>
          <w:color w:val="auto"/>
          <w:highlight w:val="none"/>
        </w:rPr>
      </w:pPr>
      <w:bookmarkStart w:id="24" w:name="_Toc26145"/>
      <w:bookmarkStart w:id="25" w:name="_Toc2722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21"/>
      <w:bookmarkEnd w:id="22"/>
      <w:bookmarkEnd w:id="23"/>
      <w:bookmarkEnd w:id="24"/>
      <w:bookmarkEnd w:id="25"/>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26" w:name="_Toc7458"/>
      <w:bookmarkStart w:id="27" w:name="_Toc3337"/>
      <w:bookmarkStart w:id="28" w:name="_Toc15062"/>
      <w:bookmarkStart w:id="29" w:name="_Toc15396600"/>
      <w:bookmarkStart w:id="30" w:name="_Toc15377197"/>
      <w:r>
        <w:rPr>
          <w:rStyle w:val="25"/>
          <w:rFonts w:hint="eastAsia" w:ascii="黑体" w:hAnsi="黑体" w:eastAsia="黑体"/>
          <w:b w:val="0"/>
          <w:bCs w:val="0"/>
          <w:color w:val="auto"/>
          <w:highlight w:val="none"/>
          <w:lang w:eastAsia="zh-CN"/>
        </w:rPr>
        <w:t>主要职责</w:t>
      </w:r>
      <w:bookmarkEnd w:id="26"/>
      <w:bookmarkEnd w:id="27"/>
      <w:bookmarkEnd w:id="28"/>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主要从事国家公益性地质工作、矿产勘查开发与矿山</w:t>
      </w:r>
      <w:r>
        <w:rPr>
          <w:rFonts w:hint="eastAsia" w:ascii="仿宋_GB2312" w:hAnsi="宋体" w:eastAsia="仿宋_GB2312" w:cs="仿宋_GB2312"/>
          <w:color w:val="000000"/>
          <w:kern w:val="0"/>
          <w:sz w:val="31"/>
          <w:szCs w:val="31"/>
          <w:lang w:val="en-US" w:eastAsia="zh-CN" w:bidi="ar"/>
        </w:rPr>
        <w:t>服务、生态环境与地质环境保护、地质灾害治理与工程地质勘察、地质遗迹保护与地质公园申报、土地调查与规划、旅游资源开发、信息工程、测绘等工作。</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川省地质矿产勘查开发局区域地质调查队始建于1959年，现有员工286人，其中专业技术人员200余人。是四川省唯一一支区域地质调查专业队伍，多次被部、省嘉奖，授予“地质找矿功勋单位”、“大庆式”企业、地矿部政治思想工作先进单位称号。</w:t>
      </w:r>
    </w:p>
    <w:p>
      <w:pPr>
        <w:pStyle w:val="4"/>
        <w:numPr>
          <w:ilvl w:val="0"/>
          <w:numId w:val="1"/>
        </w:numPr>
        <w:ind w:left="0" w:leftChars="0" w:firstLine="0" w:firstLineChars="0"/>
        <w:rPr>
          <w:rFonts w:hint="eastAsia" w:ascii="黑体" w:hAnsi="黑体" w:eastAsia="黑体"/>
          <w:b w:val="0"/>
          <w:color w:val="auto"/>
          <w:highlight w:val="none"/>
          <w:lang w:val="en-US" w:eastAsia="zh-CN"/>
        </w:rPr>
      </w:pPr>
      <w:bookmarkStart w:id="31" w:name="_Toc30456"/>
      <w:bookmarkStart w:id="32" w:name="_Toc31150"/>
      <w:bookmarkStart w:id="33" w:name="_Toc26891"/>
      <w:r>
        <w:rPr>
          <w:rFonts w:hint="eastAsia" w:ascii="黑体" w:hAnsi="黑体" w:eastAsia="黑体"/>
          <w:b w:val="0"/>
          <w:color w:val="auto"/>
          <w:highlight w:val="none"/>
          <w:lang w:val="en-US" w:eastAsia="zh-CN"/>
        </w:rPr>
        <w:t>机构设置</w:t>
      </w:r>
      <w:bookmarkEnd w:id="31"/>
      <w:bookmarkEnd w:id="32"/>
      <w:bookmarkEnd w:id="33"/>
    </w:p>
    <w:p>
      <w:pPr>
        <w:numPr>
          <w:ilvl w:val="0"/>
          <w:numId w:val="0"/>
        </w:numPr>
        <w:ind w:leftChars="0" w:firstLine="620" w:firstLineChars="200"/>
        <w:rPr>
          <w:rFonts w:hint="default"/>
          <w:lang w:val="en-US" w:eastAsia="zh-CN"/>
        </w:rPr>
      </w:pPr>
      <w:r>
        <w:rPr>
          <w:rFonts w:hint="eastAsia" w:ascii="仿宋_GB2312" w:hAnsi="宋体" w:eastAsia="仿宋_GB2312" w:cs="仿宋_GB2312"/>
          <w:color w:val="000000"/>
          <w:kern w:val="0"/>
          <w:sz w:val="31"/>
          <w:szCs w:val="31"/>
          <w:lang w:val="en-US" w:eastAsia="zh-CN" w:bidi="ar"/>
        </w:rPr>
        <w:t>四川省地质矿产勘查开发局区域地质调查队由14个职能科室组成，分别是：行政及人力资源部门、党群工作部、纪检监察室、经营发展部、财务部、审计部、技术部、安全管理部、工会办公室、离退休办公室、网络信息部、档案馆、科创中心、后勤服务中心。</w:t>
      </w:r>
    </w:p>
    <w:bookmarkEnd w:id="29"/>
    <w:bookmarkEnd w:id="30"/>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34" w:name="_Toc23893"/>
      <w:bookmarkStart w:id="35" w:name="_Toc15750"/>
      <w:bookmarkStart w:id="36" w:name="_Toc15396602"/>
      <w:bookmarkStart w:id="37" w:name="_Toc15377204"/>
      <w:bookmarkStart w:id="38" w:name="_Toc1172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34"/>
      <w:bookmarkEnd w:id="35"/>
      <w:bookmarkEnd w:id="36"/>
      <w:bookmarkEnd w:id="37"/>
      <w:bookmarkEnd w:id="38"/>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9" w:name="_Toc15377205"/>
      <w:bookmarkStart w:id="40" w:name="_Toc10803"/>
      <w:bookmarkStart w:id="41" w:name="_Toc8727"/>
      <w:bookmarkStart w:id="42" w:name="_Toc15343"/>
      <w:bookmarkStart w:id="43"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39"/>
      <w:bookmarkEnd w:id="40"/>
      <w:bookmarkEnd w:id="41"/>
      <w:bookmarkEnd w:id="42"/>
      <w:bookmarkEnd w:id="43"/>
    </w:p>
    <w:p>
      <w:pPr>
        <w:spacing w:line="600" w:lineRule="exact"/>
        <w:ind w:firstLine="640" w:firstLineChars="200"/>
        <w:rPr>
          <w:rFonts w:hint="eastAsia"/>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7,983.08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1,798.39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。主要变动原因是2021年使用非财政拨款结余1800余万元，2022年没有使用非财政拨款结余，形成差异</w:t>
      </w:r>
      <w:r>
        <w:rPr>
          <w:rFonts w:hint="eastAsia" w:ascii="仿宋" w:hAnsi="仿宋" w:eastAsia="仿宋"/>
          <w:color w:val="auto"/>
          <w:sz w:val="32"/>
          <w:szCs w:val="32"/>
          <w:highlight w:val="none"/>
          <w:lang w:eastAsia="zh-CN"/>
        </w:rPr>
        <w:t>。</w:t>
      </w:r>
    </w:p>
    <w:p>
      <w:pPr>
        <w:pStyle w:val="2"/>
      </w:pPr>
      <w:r>
        <w:rPr>
          <w:rFonts w:hint="eastAsia"/>
        </w:rPr>
        <w:drawing>
          <wp:inline distT="0" distB="0" distL="0" distR="0">
            <wp:extent cx="5095875" cy="2838450"/>
            <wp:effectExtent l="4445" t="4445" r="508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44" w:name="_Toc15954"/>
      <w:bookmarkStart w:id="45" w:name="_Toc15396604"/>
      <w:bookmarkStart w:id="46" w:name="_Toc15377206"/>
      <w:bookmarkStart w:id="47" w:name="_Toc16809"/>
      <w:bookmarkStart w:id="48" w:name="_Toc2420"/>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44"/>
      <w:bookmarkEnd w:id="45"/>
      <w:bookmarkEnd w:id="46"/>
      <w:bookmarkEnd w:id="47"/>
      <w:bookmarkEnd w:id="48"/>
    </w:p>
    <w:p>
      <w:pPr>
        <w:spacing w:line="600" w:lineRule="exact"/>
        <w:ind w:firstLine="640" w:firstLineChars="200"/>
        <w:outlineLvl w:val="1"/>
        <w:rPr>
          <w:rFonts w:ascii="仿宋" w:hAnsi="仿宋" w:eastAsia="仿宋"/>
          <w:color w:val="auto"/>
          <w:sz w:val="32"/>
          <w:szCs w:val="32"/>
          <w:highlight w:val="none"/>
        </w:rPr>
      </w:pPr>
      <w:bookmarkStart w:id="49" w:name="_Toc2063"/>
      <w:bookmarkStart w:id="50" w:name="_Toc27133"/>
      <w:bookmarkStart w:id="51" w:name="_Toc2563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7,983.08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3,043.66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38.13</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4,900.44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61.38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38.98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9"/>
      <w:bookmarkEnd w:id="50"/>
      <w:bookmarkEnd w:id="51"/>
    </w:p>
    <w:p>
      <w:pPr>
        <w:pStyle w:val="2"/>
      </w:pPr>
      <w:r>
        <w:rPr>
          <w:rFonts w:hint="eastAsia"/>
        </w:rPr>
        <w:drawing>
          <wp:inline distT="0" distB="0" distL="0" distR="0">
            <wp:extent cx="4752975" cy="2667000"/>
            <wp:effectExtent l="4445" t="4445" r="508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2" w:name="_Toc15377207"/>
      <w:bookmarkStart w:id="53" w:name="_Toc24271"/>
      <w:bookmarkStart w:id="54" w:name="_Toc18805"/>
      <w:bookmarkStart w:id="55" w:name="_Toc26199"/>
      <w:bookmarkStart w:id="56"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52"/>
      <w:bookmarkEnd w:id="53"/>
      <w:bookmarkEnd w:id="54"/>
      <w:bookmarkEnd w:id="55"/>
      <w:bookmarkEnd w:id="56"/>
    </w:p>
    <w:p>
      <w:pPr>
        <w:spacing w:line="600" w:lineRule="exact"/>
        <w:ind w:firstLine="640" w:firstLineChars="200"/>
        <w:outlineLvl w:val="1"/>
        <w:rPr>
          <w:rFonts w:ascii="仿宋" w:hAnsi="仿宋" w:eastAsia="仿宋"/>
          <w:color w:val="auto"/>
          <w:sz w:val="32"/>
          <w:szCs w:val="32"/>
          <w:highlight w:val="none"/>
          <w:shd w:val="pct10" w:color="auto" w:fill="FFFFFF"/>
        </w:rPr>
      </w:pPr>
      <w:bookmarkStart w:id="57" w:name="_Toc3305"/>
      <w:bookmarkStart w:id="58" w:name="_Toc597"/>
      <w:bookmarkStart w:id="59" w:name="_Toc272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7,654.01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4,552.98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59.48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0.21</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3,084.91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57"/>
      <w:bookmarkEnd w:id="58"/>
      <w:bookmarkEnd w:id="59"/>
    </w:p>
    <w:p>
      <w:pPr>
        <w:pStyle w:val="2"/>
        <w:rPr>
          <w:sz w:val="32"/>
          <w:szCs w:val="32"/>
        </w:rPr>
      </w:pPr>
      <w:r>
        <w:rPr>
          <w:sz w:val="32"/>
          <w:szCs w:val="32"/>
        </w:rPr>
        <w:drawing>
          <wp:inline distT="0" distB="0" distL="0" distR="0">
            <wp:extent cx="4752975" cy="2199005"/>
            <wp:effectExtent l="4445" t="4445" r="508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sz w:val="32"/>
          <w:szCs w:val="32"/>
        </w:rPr>
      </w:pPr>
    </w:p>
    <w:p>
      <w:pPr>
        <w:spacing w:line="600" w:lineRule="exact"/>
        <w:ind w:firstLine="640" w:firstLineChars="200"/>
        <w:outlineLvl w:val="1"/>
        <w:rPr>
          <w:rStyle w:val="25"/>
          <w:rFonts w:ascii="黑体" w:hAnsi="黑体" w:eastAsia="黑体"/>
          <w:b w:val="0"/>
          <w:color w:val="auto"/>
          <w:highlight w:val="none"/>
        </w:rPr>
      </w:pPr>
      <w:bookmarkStart w:id="60" w:name="_Toc15396606"/>
      <w:bookmarkStart w:id="61" w:name="_Toc605"/>
      <w:bookmarkStart w:id="62" w:name="_Toc15377208"/>
      <w:bookmarkStart w:id="63" w:name="_Toc11533"/>
      <w:bookmarkStart w:id="64" w:name="_Toc14659"/>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60"/>
      <w:bookmarkEnd w:id="61"/>
      <w:bookmarkEnd w:id="62"/>
      <w:bookmarkEnd w:id="63"/>
      <w:bookmarkEnd w:id="6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3,043.66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2,120.83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41.07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2021年主管部门集中收入上交形成的财政收入1200余万元，2022年无此事项；2022年财政拨款的人员和项目经费较2021年减少1000余万元。</w:t>
      </w:r>
    </w:p>
    <w:p>
      <w:pPr>
        <w:pStyle w:val="2"/>
      </w:pPr>
      <w:r>
        <w:rPr>
          <w:rFonts w:hint="eastAsia"/>
        </w:rP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pPr>
    </w:p>
    <w:p>
      <w:pPr>
        <w:spacing w:line="600" w:lineRule="exact"/>
        <w:ind w:firstLine="640" w:firstLineChars="200"/>
        <w:outlineLvl w:val="1"/>
        <w:rPr>
          <w:rStyle w:val="25"/>
          <w:rFonts w:ascii="黑体" w:hAnsi="黑体" w:eastAsia="黑体"/>
          <w:b w:val="0"/>
          <w:color w:val="auto"/>
          <w:highlight w:val="none"/>
        </w:rPr>
      </w:pPr>
      <w:bookmarkStart w:id="65" w:name="_Toc4794"/>
      <w:bookmarkStart w:id="66" w:name="_Toc29069"/>
      <w:bookmarkStart w:id="67" w:name="_Toc15155"/>
      <w:bookmarkStart w:id="68" w:name="_Toc15377209"/>
      <w:bookmarkStart w:id="6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5"/>
      <w:bookmarkEnd w:id="66"/>
      <w:bookmarkEnd w:id="67"/>
      <w:bookmarkEnd w:id="68"/>
      <w:bookmarkEnd w:id="69"/>
    </w:p>
    <w:p>
      <w:pPr>
        <w:spacing w:line="600" w:lineRule="exact"/>
        <w:ind w:firstLine="643" w:firstLineChars="200"/>
        <w:outlineLvl w:val="2"/>
        <w:rPr>
          <w:rFonts w:ascii="仿宋" w:hAnsi="仿宋" w:eastAsia="仿宋"/>
          <w:b/>
          <w:color w:val="auto"/>
          <w:sz w:val="32"/>
          <w:szCs w:val="32"/>
          <w:highlight w:val="none"/>
        </w:rPr>
      </w:pPr>
      <w:bookmarkStart w:id="70" w:name="_Toc15377210"/>
      <w:r>
        <w:rPr>
          <w:rFonts w:hint="eastAsia" w:ascii="仿宋" w:hAnsi="仿宋" w:eastAsia="仿宋"/>
          <w:b/>
          <w:color w:val="auto"/>
          <w:sz w:val="32"/>
          <w:szCs w:val="32"/>
          <w:highlight w:val="none"/>
        </w:rPr>
        <w:t>（一）一般公共预算财政拨款支出决算总体情况</w:t>
      </w:r>
      <w:bookmarkEnd w:id="70"/>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3,043.66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39.77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2,120.83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41.07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2021年主管部门集中收入上交形成的财政收入1200余万元，2022年无此事项；2022年财政拨款的人员和项目经费较2021年减少1000余万元。</w:t>
      </w:r>
    </w:p>
    <w:p>
      <w:pPr>
        <w:pStyle w:val="2"/>
        <w:rPr>
          <w:rFonts w:hint="eastAsia" w:ascii="仿宋" w:hAnsi="仿宋" w:eastAsia="仿宋"/>
          <w:color w:val="auto"/>
          <w:sz w:val="32"/>
          <w:szCs w:val="32"/>
          <w:highlight w:val="none"/>
        </w:rPr>
      </w:pPr>
      <w:r>
        <w:rPr>
          <w:rFonts w:hint="eastAsia"/>
        </w:rPr>
        <w:drawing>
          <wp:inline distT="0" distB="0" distL="0" distR="0">
            <wp:extent cx="4665345" cy="2333625"/>
            <wp:effectExtent l="5080" t="4445" r="1587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rPr>
          <w:rFonts w:hint="eastAsia"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71" w:name="_Toc15377211"/>
      <w:r>
        <w:rPr>
          <w:rFonts w:hint="eastAsia" w:ascii="仿宋" w:hAnsi="仿宋" w:eastAsia="仿宋"/>
          <w:b/>
          <w:color w:val="auto"/>
          <w:sz w:val="32"/>
          <w:szCs w:val="32"/>
          <w:highlight w:val="none"/>
        </w:rPr>
        <w:t>（二）一般公共预算财政拨款支出决算结构情况</w:t>
      </w:r>
      <w:bookmarkEnd w:id="7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3,043.66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社会保障和就业支出</w:t>
      </w:r>
      <w:r>
        <w:rPr>
          <w:rFonts w:hint="eastAsia" w:ascii="仿宋" w:hAnsi="仿宋" w:eastAsia="仿宋"/>
          <w:color w:val="auto"/>
          <w:sz w:val="32"/>
          <w:szCs w:val="32"/>
          <w:highlight w:val="none"/>
          <w:lang w:val="en-US" w:eastAsia="zh-CN"/>
        </w:rPr>
        <w:t>835.58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color w:val="auto"/>
          <w:sz w:val="32"/>
          <w:szCs w:val="32"/>
          <w:highlight w:val="none"/>
          <w:lang w:val="en-US" w:eastAsia="zh-CN"/>
        </w:rPr>
        <w:t>84.38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资源勘探工业信息等支出1,791.97万元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58.88</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b w:val="0"/>
          <w:bCs w:val="0"/>
          <w:color w:val="auto"/>
          <w:sz w:val="32"/>
          <w:szCs w:val="32"/>
          <w:highlight w:val="none"/>
        </w:rPr>
        <w:t>住房保障支出</w:t>
      </w:r>
      <w:r>
        <w:rPr>
          <w:rFonts w:hint="eastAsia" w:ascii="仿宋" w:hAnsi="仿宋" w:eastAsia="仿宋"/>
          <w:color w:val="auto"/>
          <w:sz w:val="32"/>
          <w:szCs w:val="32"/>
          <w:highlight w:val="none"/>
          <w:lang w:val="en-US" w:eastAsia="zh-CN"/>
        </w:rPr>
        <w:t>331.72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ascii="仿宋" w:hAnsi="仿宋" w:eastAsia="仿宋"/>
          <w:color w:val="auto"/>
          <w:sz w:val="32"/>
          <w:szCs w:val="32"/>
          <w:highlight w:val="none"/>
        </w:rPr>
      </w:pPr>
      <w:r>
        <w:rPr>
          <w:rFonts w:hint="eastAsia"/>
        </w:rPr>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72" w:name="_Toc15377212"/>
      <w:r>
        <w:rPr>
          <w:rFonts w:hint="eastAsia" w:ascii="仿宋" w:hAnsi="仿宋" w:eastAsia="仿宋"/>
          <w:b/>
          <w:color w:val="auto"/>
          <w:sz w:val="32"/>
          <w:szCs w:val="32"/>
          <w:highlight w:val="none"/>
        </w:rPr>
        <w:t>（三）一般公共预算财政拨款支出决算具体情况</w:t>
      </w:r>
      <w:bookmarkEnd w:id="72"/>
    </w:p>
    <w:p>
      <w:pPr>
        <w:spacing w:line="600" w:lineRule="exact"/>
        <w:ind w:firstLine="643" w:firstLineChars="200"/>
        <w:outlineLvl w:val="1"/>
        <w:rPr>
          <w:rFonts w:ascii="仿宋" w:hAnsi="仿宋" w:eastAsia="仿宋"/>
          <w:color w:val="auto"/>
          <w:sz w:val="32"/>
          <w:szCs w:val="32"/>
          <w:highlight w:val="none"/>
        </w:rPr>
      </w:pPr>
      <w:bookmarkStart w:id="73" w:name="_Toc16120"/>
      <w:bookmarkStart w:id="74" w:name="_Toc15378460"/>
      <w:bookmarkStart w:id="75" w:name="_Toc10964"/>
      <w:bookmarkStart w:id="76" w:name="_Toc15377213"/>
      <w:bookmarkStart w:id="77" w:name="_Toc2201"/>
      <w:bookmarkStart w:id="7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3,043.66</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73"/>
      <w:bookmarkEnd w:id="74"/>
      <w:bookmarkEnd w:id="75"/>
      <w:bookmarkEnd w:id="76"/>
      <w:bookmarkEnd w:id="77"/>
      <w:bookmarkEnd w:id="78"/>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事业</w:t>
      </w:r>
      <w:r>
        <w:rPr>
          <w:rStyle w:val="14"/>
          <w:rFonts w:ascii="仿宋" w:hAnsi="仿宋" w:eastAsia="仿宋"/>
          <w:bCs/>
          <w:sz w:val="32"/>
          <w:szCs w:val="32"/>
        </w:rPr>
        <w:t>单位离退休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205.31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2.</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机关事业单位基本养老保险缴费</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420.18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机关事业单位职业年金缴费</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210.09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4.</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sz w:val="32"/>
          <w:szCs w:val="32"/>
        </w:rPr>
        <w:t>行政</w:t>
      </w:r>
      <w:r>
        <w:rPr>
          <w:rStyle w:val="14"/>
          <w:rFonts w:ascii="仿宋" w:hAnsi="仿宋" w:eastAsia="仿宋"/>
          <w:bCs/>
          <w:sz w:val="32"/>
          <w:szCs w:val="32"/>
        </w:rPr>
        <w:t>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事业</w:t>
      </w:r>
      <w:r>
        <w:rPr>
          <w:rStyle w:val="14"/>
          <w:rFonts w:ascii="仿宋" w:hAnsi="仿宋" w:eastAsia="仿宋"/>
          <w:bCs/>
          <w:sz w:val="32"/>
          <w:szCs w:val="32"/>
        </w:rPr>
        <w:t>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84.38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5.</w:t>
      </w:r>
      <w:r>
        <w:rPr>
          <w:rStyle w:val="14"/>
          <w:rFonts w:hint="eastAsia" w:ascii="仿宋" w:hAnsi="仿宋" w:eastAsia="仿宋"/>
          <w:bCs/>
          <w:color w:val="auto"/>
          <w:sz w:val="32"/>
          <w:szCs w:val="32"/>
          <w:highlight w:val="none"/>
          <w:lang w:val="en-US" w:eastAsia="zh-CN"/>
        </w:rPr>
        <w:t>资源勘探工业信息等</w:t>
      </w:r>
      <w:r>
        <w:rPr>
          <w:rStyle w:val="14"/>
          <w:rFonts w:hint="eastAsia" w:ascii="仿宋" w:hAnsi="仿宋" w:eastAsia="仿宋"/>
          <w:bCs/>
          <w:color w:val="auto"/>
          <w:sz w:val="32"/>
          <w:szCs w:val="32"/>
          <w:highlight w:val="none"/>
        </w:rPr>
        <w:t>（类）</w:t>
      </w:r>
      <w:r>
        <w:rPr>
          <w:rStyle w:val="14"/>
          <w:rFonts w:hint="eastAsia" w:ascii="仿宋" w:hAnsi="仿宋" w:eastAsia="仿宋"/>
          <w:bCs/>
          <w:sz w:val="32"/>
          <w:szCs w:val="32"/>
        </w:rPr>
        <w:t>资源勘探开发</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其他资源勘探业支出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1,791.97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6.</w:t>
      </w:r>
      <w:r>
        <w:rPr>
          <w:rFonts w:hint="eastAsia" w:ascii="仿宋" w:hAnsi="仿宋" w:eastAsia="仿宋"/>
          <w:b/>
          <w:bCs/>
          <w:color w:val="auto"/>
          <w:sz w:val="32"/>
          <w:szCs w:val="32"/>
          <w:highlight w:val="none"/>
          <w:lang w:val="en-US" w:eastAsia="zh-CN"/>
        </w:rPr>
        <w:t>住房保障</w:t>
      </w:r>
      <w:r>
        <w:rPr>
          <w:rStyle w:val="14"/>
          <w:rFonts w:hint="eastAsia" w:ascii="仿宋" w:hAnsi="仿宋" w:eastAsia="仿宋"/>
          <w:bCs/>
          <w:color w:val="auto"/>
          <w:sz w:val="32"/>
          <w:szCs w:val="32"/>
          <w:highlight w:val="none"/>
        </w:rPr>
        <w:t>（类）</w:t>
      </w:r>
      <w:r>
        <w:rPr>
          <w:rStyle w:val="14"/>
          <w:rFonts w:hint="eastAsia" w:ascii="仿宋" w:hAnsi="仿宋" w:eastAsia="仿宋"/>
          <w:bCs/>
          <w:sz w:val="32"/>
          <w:szCs w:val="32"/>
        </w:rPr>
        <w:t>住房改革支出</w:t>
      </w:r>
      <w:r>
        <w:rPr>
          <w:rStyle w:val="14"/>
          <w:rFonts w:hint="eastAsia" w:ascii="仿宋" w:hAnsi="仿宋" w:eastAsia="仿宋"/>
          <w:bCs/>
          <w:color w:val="auto"/>
          <w:sz w:val="32"/>
          <w:szCs w:val="32"/>
          <w:highlight w:val="none"/>
        </w:rPr>
        <w:t>（款）</w:t>
      </w:r>
      <w:r>
        <w:rPr>
          <w:rStyle w:val="14"/>
          <w:rFonts w:hint="eastAsia" w:ascii="仿宋" w:hAnsi="仿宋" w:eastAsia="仿宋"/>
          <w:bCs/>
          <w:sz w:val="32"/>
          <w:szCs w:val="32"/>
        </w:rPr>
        <w:t>住房公积金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331.72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79" w:name="_Toc15396608"/>
      <w:bookmarkStart w:id="80" w:name="_Toc7868"/>
      <w:bookmarkStart w:id="81" w:name="_Toc15377214"/>
      <w:bookmarkStart w:id="82" w:name="_Toc7249"/>
      <w:bookmarkStart w:id="83" w:name="_Toc1387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9"/>
      <w:bookmarkEnd w:id="80"/>
      <w:bookmarkEnd w:id="81"/>
      <w:bookmarkEnd w:id="82"/>
      <w:bookmarkEnd w:id="83"/>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3,029.66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2,868.33</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其他工资福利支出、离休费、退休费、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161.33</w:t>
      </w:r>
      <w:r>
        <w:rPr>
          <w:rFonts w:hint="eastAsia" w:ascii="仿宋" w:hAnsi="仿宋" w:eastAsia="仿宋"/>
          <w:color w:val="auto"/>
          <w:sz w:val="32"/>
          <w:szCs w:val="32"/>
          <w:highlight w:val="none"/>
        </w:rPr>
        <w:t>万元，主要包括：办公费、咨询费、水费、电费、邮电费、差旅费、维修（护）费、培训费、工会经费、福利费、其他商品和服务支出等。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84" w:name="_Toc28589"/>
      <w:bookmarkStart w:id="85" w:name="_Toc25775"/>
      <w:bookmarkStart w:id="86" w:name="_Toc24801"/>
      <w:bookmarkStart w:id="87" w:name="_Toc15377215"/>
      <w:bookmarkStart w:id="88" w:name="_Toc15396609"/>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84"/>
      <w:bookmarkEnd w:id="85"/>
      <w:bookmarkEnd w:id="86"/>
      <w:bookmarkEnd w:id="87"/>
      <w:bookmarkEnd w:id="88"/>
    </w:p>
    <w:p>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本单位为事业单位无“三公”经费。2021年三公经费为0,2022年三公经费为0，与上年度一致，与上年度相比无增减变化。</w:t>
      </w:r>
    </w:p>
    <w:p>
      <w:pPr>
        <w:spacing w:line="600" w:lineRule="exact"/>
        <w:ind w:firstLine="640"/>
        <w:outlineLvl w:val="9"/>
        <w:rPr>
          <w:rFonts w:ascii="黑体" w:eastAsia="黑体"/>
          <w:color w:val="auto"/>
          <w:sz w:val="32"/>
          <w:szCs w:val="32"/>
          <w:highlight w:val="none"/>
        </w:rPr>
      </w:pPr>
      <w:bookmarkStart w:id="89" w:name="_Toc15377218"/>
      <w:bookmarkStart w:id="90" w:name="_Toc15396610"/>
    </w:p>
    <w:p>
      <w:pPr>
        <w:spacing w:line="600" w:lineRule="exact"/>
        <w:ind w:firstLine="640"/>
        <w:outlineLvl w:val="1"/>
        <w:rPr>
          <w:rStyle w:val="25"/>
          <w:rFonts w:ascii="黑体" w:hAnsi="黑体" w:eastAsia="黑体"/>
          <w:color w:val="auto"/>
          <w:highlight w:val="none"/>
        </w:rPr>
      </w:pPr>
      <w:bookmarkStart w:id="91" w:name="_Toc21962"/>
      <w:bookmarkStart w:id="92" w:name="_Toc31388"/>
      <w:bookmarkStart w:id="93" w:name="_Toc13324"/>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9"/>
      <w:bookmarkEnd w:id="90"/>
      <w:bookmarkEnd w:id="91"/>
      <w:bookmarkEnd w:id="92"/>
      <w:bookmarkEnd w:id="9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5"/>
          <w:rFonts w:ascii="黑体" w:hAnsi="黑体" w:eastAsia="黑体"/>
          <w:b w:val="0"/>
          <w:color w:val="auto"/>
          <w:highlight w:val="none"/>
        </w:rPr>
      </w:pPr>
      <w:bookmarkStart w:id="94" w:name="_Toc775"/>
      <w:bookmarkStart w:id="95" w:name="_Toc15377219"/>
      <w:bookmarkStart w:id="96" w:name="_Toc8962"/>
      <w:bookmarkStart w:id="97" w:name="_Toc10281"/>
      <w:bookmarkStart w:id="98" w:name="_Toc15396611"/>
      <w:r>
        <w:rPr>
          <w:rStyle w:val="25"/>
          <w:rFonts w:hint="eastAsia" w:ascii="黑体" w:hAnsi="黑体" w:eastAsia="黑体"/>
          <w:b w:val="0"/>
          <w:color w:val="auto"/>
          <w:highlight w:val="none"/>
        </w:rPr>
        <w:t>国有资本经营预算支出决算情况说明</w:t>
      </w:r>
      <w:bookmarkEnd w:id="94"/>
      <w:bookmarkEnd w:id="95"/>
      <w:bookmarkEnd w:id="96"/>
      <w:bookmarkEnd w:id="97"/>
      <w:bookmarkEnd w:id="9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99" w:name="_Toc17949"/>
      <w:bookmarkStart w:id="100" w:name="_Toc6017"/>
      <w:bookmarkStart w:id="101" w:name="_Toc15377221"/>
      <w:bookmarkStart w:id="102" w:name="_Toc15902"/>
      <w:bookmarkStart w:id="103" w:name="_Toc15396612"/>
      <w:r>
        <w:rPr>
          <w:rStyle w:val="25"/>
          <w:rFonts w:hint="eastAsia" w:ascii="黑体" w:hAnsi="黑体" w:eastAsia="黑体"/>
          <w:b w:val="0"/>
          <w:color w:val="auto"/>
          <w:highlight w:val="none"/>
        </w:rPr>
        <w:t>其他重要事项的情况说明</w:t>
      </w:r>
      <w:bookmarkEnd w:id="99"/>
      <w:bookmarkEnd w:id="100"/>
      <w:bookmarkEnd w:id="101"/>
      <w:bookmarkEnd w:id="102"/>
      <w:bookmarkEnd w:id="103"/>
    </w:p>
    <w:p>
      <w:pPr>
        <w:spacing w:line="600" w:lineRule="exact"/>
        <w:ind w:firstLine="643" w:firstLineChars="200"/>
        <w:outlineLvl w:val="2"/>
        <w:rPr>
          <w:rFonts w:ascii="仿宋" w:hAnsi="仿宋" w:eastAsia="仿宋"/>
          <w:color w:val="auto"/>
          <w:sz w:val="32"/>
          <w:szCs w:val="32"/>
          <w:highlight w:val="none"/>
        </w:rPr>
      </w:pPr>
      <w:bookmarkStart w:id="104" w:name="_Toc15377222"/>
      <w:r>
        <w:rPr>
          <w:rFonts w:hint="eastAsia" w:ascii="仿宋" w:hAnsi="仿宋" w:eastAsia="仿宋"/>
          <w:b/>
          <w:color w:val="auto"/>
          <w:sz w:val="32"/>
          <w:szCs w:val="32"/>
          <w:highlight w:val="none"/>
        </w:rPr>
        <w:t>（一）机关运行经费支出情况</w:t>
      </w:r>
      <w:bookmarkEnd w:id="104"/>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四川省地质矿产勘查开发局区域地质调查队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w:t>
      </w:r>
      <w:r>
        <w:rPr>
          <w:rFonts w:hint="eastAsia" w:ascii="仿宋" w:hAnsi="仿宋" w:eastAsia="仿宋"/>
          <w:sz w:val="32"/>
          <w:szCs w:val="32"/>
        </w:rPr>
        <w:t>本单位为事业单位，无</w:t>
      </w:r>
      <w:r>
        <w:rPr>
          <w:rFonts w:hint="eastAsia" w:ascii="仿宋_GB2312" w:eastAsia="仿宋_GB2312"/>
          <w:sz w:val="32"/>
          <w:szCs w:val="32"/>
        </w:rPr>
        <w:t>机关运行经费，</w:t>
      </w:r>
      <w:r>
        <w:rPr>
          <w:rFonts w:hint="eastAsia" w:ascii="仿宋_GB2312" w:eastAsia="仿宋_GB2312"/>
          <w:sz w:val="32"/>
          <w:szCs w:val="32"/>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5" w:name="_Toc15377223"/>
      <w:r>
        <w:rPr>
          <w:rFonts w:hint="eastAsia" w:ascii="仿宋" w:hAnsi="仿宋" w:eastAsia="仿宋"/>
          <w:b/>
          <w:color w:val="auto"/>
          <w:sz w:val="32"/>
          <w:szCs w:val="32"/>
          <w:highlight w:val="none"/>
        </w:rPr>
        <w:t>（二）政府采购支出情况</w:t>
      </w:r>
      <w:bookmarkEnd w:id="10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四川省地质矿产勘查开发局区域地质调查队</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6" w:name="_Toc15377224"/>
      <w:r>
        <w:rPr>
          <w:rFonts w:hint="eastAsia" w:ascii="仿宋" w:hAnsi="仿宋" w:eastAsia="仿宋"/>
          <w:b/>
          <w:color w:val="auto"/>
          <w:sz w:val="32"/>
          <w:szCs w:val="32"/>
          <w:highlight w:val="none"/>
        </w:rPr>
        <w:t>（三）国有资产占有使用情况</w:t>
      </w:r>
      <w:bookmarkEnd w:id="10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四川省地质矿产勘查开发局区域地质调查队</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sz w:val="32"/>
          <w:szCs w:val="32"/>
        </w:rPr>
        <w:t>项目生产经营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含</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以上设备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不含车辆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2"/>
        <w:ind w:firstLine="640" w:firstLineChars="200"/>
        <w:rPr>
          <w:color w:val="auto"/>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工资性支出</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个项目开展绩效自评。</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107" w:name="_Toc24633"/>
      <w:bookmarkStart w:id="108" w:name="_Toc15396613"/>
      <w:bookmarkStart w:id="109" w:name="_Toc15377225"/>
      <w:bookmarkStart w:id="110" w:name="_Toc10220"/>
      <w:bookmarkStart w:id="111" w:name="_Toc31152"/>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107"/>
      <w:bookmarkEnd w:id="108"/>
      <w:bookmarkEnd w:id="109"/>
      <w:bookmarkEnd w:id="110"/>
      <w:bookmarkEnd w:id="111"/>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经营收入：指</w:t>
      </w:r>
      <w:r>
        <w:rPr>
          <w:rFonts w:hint="eastAsia" w:ascii="仿宋_GB2312" w:eastAsia="仿宋_GB2312"/>
          <w:color w:val="auto"/>
          <w:sz w:val="32"/>
          <w:szCs w:val="32"/>
          <w:highlight w:val="none"/>
          <w:lang w:val="en-US" w:eastAsia="zh-CN"/>
        </w:rPr>
        <w:t>本</w:t>
      </w:r>
      <w:r>
        <w:rPr>
          <w:rFonts w:hint="eastAsia" w:ascii="仿宋_GB2312" w:eastAsia="仿宋_GB2312"/>
          <w:color w:val="auto"/>
          <w:sz w:val="32"/>
          <w:szCs w:val="32"/>
          <w:highlight w:val="none"/>
        </w:rPr>
        <w:t>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w:t>
      </w:r>
    </w:p>
    <w:p>
      <w:pPr>
        <w:pStyle w:val="22"/>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 xml:space="preserve">4. </w:t>
      </w:r>
      <w:r>
        <w:rPr>
          <w:rFonts w:hint="eastAsia" w:ascii="仿宋_GB2312" w:eastAsia="仿宋_GB2312"/>
          <w:color w:val="auto"/>
          <w:sz w:val="32"/>
          <w:szCs w:val="32"/>
          <w:highlight w:val="none"/>
          <w:lang w:eastAsia="zh-CN"/>
        </w:rPr>
        <w:t>社会保障和就业（类）行政事业单</w:t>
      </w:r>
      <w:bookmarkStart w:id="169" w:name="_GoBack"/>
      <w:bookmarkEnd w:id="169"/>
      <w:r>
        <w:rPr>
          <w:rFonts w:hint="eastAsia" w:ascii="仿宋_GB2312" w:eastAsia="仿宋_GB2312"/>
          <w:color w:val="auto"/>
          <w:sz w:val="32"/>
          <w:szCs w:val="32"/>
          <w:highlight w:val="none"/>
          <w:lang w:eastAsia="zh-CN"/>
        </w:rPr>
        <w:t>位养老支出（款）事业单位离退休（项）：指反映</w:t>
      </w:r>
      <w:r>
        <w:rPr>
          <w:rFonts w:hint="eastAsia" w:ascii="仿宋_GB2312" w:eastAsia="仿宋_GB2312"/>
          <w:color w:val="auto"/>
          <w:sz w:val="32"/>
          <w:szCs w:val="32"/>
          <w:highlight w:val="none"/>
          <w:lang w:val="en-US" w:eastAsia="zh-CN"/>
        </w:rPr>
        <w:t>本</w:t>
      </w:r>
      <w:r>
        <w:rPr>
          <w:rFonts w:hint="eastAsia" w:ascii="仿宋_GB2312" w:eastAsia="仿宋_GB2312"/>
          <w:color w:val="auto"/>
          <w:sz w:val="32"/>
          <w:szCs w:val="32"/>
          <w:highlight w:val="none"/>
          <w:lang w:eastAsia="zh-CN"/>
        </w:rPr>
        <w:t>单位开支的离退休经费。</w:t>
      </w:r>
    </w:p>
    <w:p>
      <w:pPr>
        <w:pStyle w:val="22"/>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.社会保障和就业（类）行政事业单位养老支出（款）机关事业单位基本养老保险缴费（项）：指反映</w:t>
      </w:r>
      <w:r>
        <w:rPr>
          <w:rFonts w:hint="eastAsia" w:ascii="仿宋_GB2312" w:eastAsia="仿宋_GB2312"/>
          <w:color w:val="auto"/>
          <w:sz w:val="32"/>
          <w:szCs w:val="32"/>
          <w:highlight w:val="none"/>
          <w:lang w:val="en-US" w:eastAsia="zh-CN"/>
        </w:rPr>
        <w:t>本</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lang w:val="en-US" w:eastAsia="zh-CN"/>
        </w:rPr>
        <w:t>缴纳的</w:t>
      </w:r>
      <w:r>
        <w:rPr>
          <w:rFonts w:hint="eastAsia" w:ascii="仿宋_GB2312" w:eastAsia="仿宋_GB2312"/>
          <w:color w:val="auto"/>
          <w:sz w:val="32"/>
          <w:szCs w:val="32"/>
          <w:highlight w:val="none"/>
          <w:lang w:eastAsia="zh-CN"/>
        </w:rPr>
        <w:t>基本养老保险费支出。</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6.社会保障和就业（类）行政事业单位养老支出（款）机关事业单位职业年金缴费（项）:指反映本单位实际缴纳的职业年金支出。</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7.卫生健康（类）行政事业单位医疗（款）事业单位医疗（项）：指反映本单位缴纳的基本医疗保险费支出。</w:t>
      </w:r>
    </w:p>
    <w:p>
      <w:pPr>
        <w:pStyle w:val="22"/>
        <w:numPr>
          <w:ilvl w:val="0"/>
          <w:numId w:val="0"/>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8.资源勘探工业信息等（类）资源勘探开发（款）其他资源勘探业（项）：指反映除上述项目以外其他用于资源勘探业方面的支出。</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9.住房保障支出（类）住房改革支出（款）住房公积金（项）:指反映本单位按人力资源和社会保障部、财政部规定的基本工资和津贴补贴以及规定比例为职工缴纳的住房公积金；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10.基本支出：指为保障机构正常运转、完成日常工作任务而发生的人员支出和公用支出。</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11.项目支出：指在基本支出之外为完成特定任务和事业发展目标所发生的支出。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12.经营支出：指本单位在专业业务活动及其辅助活动之外开展非独立核算经营活动发生的支出。</w:t>
      </w:r>
    </w:p>
    <w:p>
      <w:pPr>
        <w:pStyle w:val="22"/>
        <w:spacing w:line="560" w:lineRule="exact"/>
        <w:ind w:firstLine="640" w:firstLineChars="200"/>
        <w:rPr>
          <w:rFonts w:ascii="仿宋_GB2312" w:eastAsia="仿宋_GB2312" w:cs="黑体"/>
          <w:color w:val="auto"/>
          <w:sz w:val="32"/>
          <w:szCs w:val="32"/>
          <w:highlight w:val="none"/>
        </w:rPr>
      </w:pPr>
    </w:p>
    <w:p>
      <w:pPr>
        <w:pStyle w:val="2"/>
        <w:rPr>
          <w:rFonts w:hint="eastAsia" w:ascii="仿宋_GB2312" w:hAnsi="Calibri" w:eastAsia="仿宋_GB2312" w:cs="仿宋"/>
          <w:color w:val="auto"/>
          <w:kern w:val="0"/>
          <w:sz w:val="32"/>
          <w:szCs w:val="32"/>
          <w:highlight w:val="none"/>
          <w:lang w:val="en-US" w:eastAsia="zh-CN" w:bidi="ar-SA"/>
        </w:rPr>
      </w:pPr>
      <w:bookmarkStart w:id="112" w:name="_Toc15377226"/>
      <w:r>
        <w:rPr>
          <w:rFonts w:ascii="宋体"/>
          <w:b/>
          <w:color w:val="auto"/>
          <w:sz w:val="44"/>
          <w:szCs w:val="44"/>
          <w:highlight w:val="none"/>
        </w:rPr>
        <w:br w:type="page"/>
      </w:r>
      <w:bookmarkStart w:id="113" w:name="_Toc15396618"/>
    </w:p>
    <w:bookmarkEnd w:id="112"/>
    <w:bookmarkEnd w:id="113"/>
    <w:p>
      <w:pPr>
        <w:rPr>
          <w:rFonts w:hint="eastAsia" w:ascii="黑体" w:hAnsi="黑体" w:eastAsia="黑体"/>
          <w:color w:val="auto"/>
          <w:sz w:val="44"/>
          <w:szCs w:val="44"/>
          <w:highlight w:val="none"/>
        </w:rPr>
      </w:pPr>
      <w:bookmarkStart w:id="114" w:name="_Toc15396619"/>
    </w:p>
    <w:p>
      <w:pPr>
        <w:numPr>
          <w:ilvl w:val="0"/>
          <w:numId w:val="4"/>
        </w:numPr>
        <w:spacing w:line="600" w:lineRule="exact"/>
        <w:ind w:left="0" w:leftChars="0" w:firstLine="660" w:firstLineChars="150"/>
        <w:jc w:val="center"/>
        <w:outlineLvl w:val="0"/>
        <w:rPr>
          <w:rStyle w:val="24"/>
          <w:rFonts w:hint="eastAsia" w:ascii="黑体" w:hAnsi="黑体" w:eastAsia="黑体"/>
          <w:b w:val="0"/>
          <w:color w:val="auto"/>
          <w:highlight w:val="none"/>
        </w:rPr>
      </w:pPr>
      <w:bookmarkStart w:id="115" w:name="_Toc8379"/>
      <w:bookmarkStart w:id="116" w:name="_Toc19837"/>
      <w:bookmarkStart w:id="117" w:name="_Toc18434"/>
      <w:r>
        <w:rPr>
          <w:rStyle w:val="24"/>
          <w:rFonts w:hint="eastAsia" w:ascii="黑体" w:hAnsi="黑体" w:eastAsia="黑体"/>
          <w:b w:val="0"/>
          <w:color w:val="auto"/>
          <w:highlight w:val="none"/>
        </w:rPr>
        <w:t>附表</w:t>
      </w:r>
      <w:bookmarkEnd w:id="114"/>
      <w:bookmarkEnd w:id="115"/>
      <w:bookmarkEnd w:id="116"/>
      <w:bookmarkEnd w:id="117"/>
      <w:bookmarkStart w:id="118" w:name="_Toc23818"/>
      <w:bookmarkStart w:id="119" w:name="_Toc25052"/>
      <w:bookmarkStart w:id="120" w:name="_Toc28078"/>
    </w:p>
    <w:p>
      <w:pPr>
        <w:numPr>
          <w:ilvl w:val="0"/>
          <w:numId w:val="0"/>
        </w:numPr>
        <w:spacing w:line="600" w:lineRule="exact"/>
        <w:ind w:left="0" w:leftChars="0" w:firstLine="0" w:firstLineChars="0"/>
        <w:jc w:val="both"/>
        <w:outlineLvl w:val="0"/>
        <w:rPr>
          <w:rFonts w:ascii="仿宋" w:hAnsi="仿宋" w:eastAsia="仿宋"/>
          <w:color w:val="auto"/>
          <w:highlight w:val="none"/>
        </w:rPr>
      </w:pPr>
      <w:r>
        <w:rPr>
          <w:rFonts w:hint="eastAsia" w:ascii="仿宋" w:hAnsi="仿宋" w:eastAsia="仿宋" w:cstheme="majorBidi"/>
          <w:b w:val="0"/>
          <w:bCs/>
          <w:color w:val="auto"/>
          <w:kern w:val="2"/>
          <w:sz w:val="32"/>
          <w:szCs w:val="32"/>
          <w:highlight w:val="none"/>
          <w:lang w:val="en-US" w:eastAsia="zh-CN" w:bidi="ar-SA"/>
        </w:rPr>
        <w:t>一、收入支</w:t>
      </w:r>
      <w:r>
        <w:rPr>
          <w:rStyle w:val="25"/>
          <w:rFonts w:hint="eastAsia" w:ascii="仿宋" w:hAnsi="仿宋" w:eastAsia="仿宋"/>
          <w:b w:val="0"/>
          <w:bCs w:val="0"/>
          <w:color w:val="auto"/>
          <w:highlight w:val="none"/>
        </w:rPr>
        <w:t>出决算总表</w:t>
      </w:r>
      <w:bookmarkEnd w:id="118"/>
      <w:bookmarkEnd w:id="119"/>
      <w:bookmarkEnd w:id="120"/>
    </w:p>
    <w:p>
      <w:pPr>
        <w:pStyle w:val="4"/>
        <w:rPr>
          <w:rFonts w:ascii="仿宋" w:hAnsi="仿宋" w:eastAsia="仿宋"/>
          <w:color w:val="auto"/>
          <w:highlight w:val="none"/>
        </w:rPr>
      </w:pPr>
      <w:bookmarkStart w:id="121" w:name="_Toc9070"/>
      <w:bookmarkStart w:id="122" w:name="_Toc15629"/>
      <w:bookmarkStart w:id="123" w:name="_Toc6074"/>
      <w:bookmarkStart w:id="124"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21"/>
      <w:bookmarkEnd w:id="122"/>
      <w:bookmarkEnd w:id="123"/>
      <w:bookmarkEnd w:id="124"/>
    </w:p>
    <w:p>
      <w:pPr>
        <w:pStyle w:val="4"/>
        <w:rPr>
          <w:rFonts w:ascii="仿宋" w:hAnsi="仿宋" w:eastAsia="仿宋"/>
          <w:color w:val="auto"/>
          <w:highlight w:val="none"/>
        </w:rPr>
      </w:pPr>
      <w:bookmarkStart w:id="125" w:name="_Toc19709"/>
      <w:bookmarkStart w:id="126" w:name="_Toc15396621"/>
      <w:bookmarkStart w:id="127" w:name="_Toc22325"/>
      <w:bookmarkStart w:id="128" w:name="_Toc26906"/>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25"/>
      <w:bookmarkEnd w:id="126"/>
      <w:bookmarkEnd w:id="127"/>
      <w:bookmarkEnd w:id="128"/>
    </w:p>
    <w:p>
      <w:pPr>
        <w:pStyle w:val="4"/>
        <w:rPr>
          <w:rFonts w:ascii="仿宋" w:hAnsi="仿宋" w:eastAsia="仿宋"/>
          <w:b w:val="0"/>
          <w:color w:val="auto"/>
          <w:highlight w:val="none"/>
        </w:rPr>
      </w:pPr>
      <w:bookmarkStart w:id="129" w:name="_Toc8365"/>
      <w:bookmarkStart w:id="130" w:name="_Toc9628"/>
      <w:bookmarkStart w:id="131" w:name="_Toc15396622"/>
      <w:bookmarkStart w:id="132" w:name="_Toc21406"/>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29"/>
      <w:bookmarkEnd w:id="130"/>
      <w:bookmarkEnd w:id="131"/>
      <w:bookmarkEnd w:id="132"/>
    </w:p>
    <w:p>
      <w:pPr>
        <w:pStyle w:val="4"/>
        <w:rPr>
          <w:rStyle w:val="25"/>
          <w:rFonts w:ascii="仿宋" w:hAnsi="仿宋" w:eastAsia="仿宋"/>
          <w:b w:val="0"/>
          <w:bCs w:val="0"/>
          <w:color w:val="auto"/>
          <w:highlight w:val="none"/>
        </w:rPr>
      </w:pPr>
      <w:bookmarkStart w:id="133" w:name="_Toc4786"/>
      <w:bookmarkStart w:id="134" w:name="_Toc15396623"/>
      <w:bookmarkStart w:id="135" w:name="_Toc372"/>
      <w:bookmarkStart w:id="136" w:name="_Toc8417"/>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33"/>
      <w:bookmarkEnd w:id="134"/>
      <w:bookmarkEnd w:id="135"/>
      <w:bookmarkEnd w:id="136"/>
      <w:bookmarkStart w:id="137" w:name="_Toc15396624"/>
    </w:p>
    <w:p>
      <w:pPr>
        <w:pStyle w:val="4"/>
        <w:rPr>
          <w:rFonts w:ascii="仿宋" w:hAnsi="仿宋" w:eastAsia="仿宋"/>
          <w:color w:val="auto"/>
          <w:highlight w:val="none"/>
        </w:rPr>
      </w:pPr>
      <w:bookmarkStart w:id="138" w:name="_Toc14778"/>
      <w:bookmarkStart w:id="139" w:name="_Toc19456"/>
      <w:bookmarkStart w:id="140" w:name="_Toc2801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37"/>
      <w:bookmarkEnd w:id="138"/>
      <w:bookmarkEnd w:id="139"/>
      <w:bookmarkEnd w:id="140"/>
    </w:p>
    <w:p>
      <w:pPr>
        <w:pStyle w:val="4"/>
        <w:rPr>
          <w:rFonts w:ascii="仿宋" w:hAnsi="仿宋" w:eastAsia="仿宋"/>
          <w:color w:val="auto"/>
          <w:highlight w:val="none"/>
        </w:rPr>
      </w:pPr>
      <w:bookmarkStart w:id="141" w:name="_Toc21574"/>
      <w:bookmarkStart w:id="142" w:name="_Toc9095"/>
      <w:bookmarkStart w:id="143" w:name="_Toc15396625"/>
      <w:bookmarkStart w:id="144" w:name="_Toc23441"/>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41"/>
      <w:bookmarkEnd w:id="142"/>
      <w:bookmarkEnd w:id="143"/>
      <w:bookmarkEnd w:id="144"/>
    </w:p>
    <w:p>
      <w:pPr>
        <w:pStyle w:val="4"/>
        <w:rPr>
          <w:rFonts w:ascii="仿宋" w:hAnsi="仿宋" w:eastAsia="仿宋"/>
          <w:color w:val="auto"/>
          <w:highlight w:val="none"/>
        </w:rPr>
      </w:pPr>
      <w:bookmarkStart w:id="145" w:name="_Toc25717"/>
      <w:bookmarkStart w:id="146" w:name="_Toc751"/>
      <w:bookmarkStart w:id="147" w:name="_Toc24682"/>
      <w:bookmarkStart w:id="14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45"/>
      <w:bookmarkEnd w:id="146"/>
      <w:bookmarkEnd w:id="147"/>
      <w:bookmarkEnd w:id="148"/>
    </w:p>
    <w:p>
      <w:pPr>
        <w:pStyle w:val="4"/>
        <w:rPr>
          <w:rFonts w:ascii="仿宋" w:hAnsi="仿宋" w:eastAsia="仿宋"/>
          <w:color w:val="auto"/>
          <w:highlight w:val="none"/>
        </w:rPr>
      </w:pPr>
      <w:bookmarkStart w:id="149" w:name="_Toc18582"/>
      <w:bookmarkStart w:id="150" w:name="_Toc24468"/>
      <w:bookmarkStart w:id="151" w:name="_Toc15396627"/>
      <w:bookmarkStart w:id="152" w:name="_Toc5276"/>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49"/>
      <w:bookmarkEnd w:id="150"/>
      <w:bookmarkEnd w:id="151"/>
      <w:bookmarkEnd w:id="152"/>
    </w:p>
    <w:p>
      <w:pPr>
        <w:pStyle w:val="4"/>
        <w:rPr>
          <w:rFonts w:ascii="仿宋" w:hAnsi="仿宋" w:eastAsia="仿宋"/>
          <w:color w:val="auto"/>
          <w:highlight w:val="none"/>
        </w:rPr>
      </w:pPr>
      <w:bookmarkStart w:id="153" w:name="_Toc15396628"/>
      <w:bookmarkStart w:id="154" w:name="_Toc4760"/>
      <w:bookmarkStart w:id="155" w:name="_Toc19061"/>
      <w:bookmarkStart w:id="156" w:name="_Toc5442"/>
      <w:r>
        <w:rPr>
          <w:rStyle w:val="25"/>
          <w:rFonts w:hint="eastAsia" w:ascii="仿宋" w:hAnsi="仿宋" w:eastAsia="仿宋"/>
          <w:b w:val="0"/>
          <w:bCs w:val="0"/>
          <w:color w:val="auto"/>
          <w:highlight w:val="none"/>
        </w:rPr>
        <w:t>十、</w:t>
      </w:r>
      <w:bookmarkEnd w:id="15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54"/>
      <w:bookmarkEnd w:id="155"/>
      <w:bookmarkEnd w:id="156"/>
    </w:p>
    <w:p>
      <w:pPr>
        <w:pStyle w:val="4"/>
        <w:rPr>
          <w:rFonts w:ascii="仿宋" w:hAnsi="仿宋" w:eastAsia="仿宋"/>
          <w:color w:val="auto"/>
          <w:highlight w:val="none"/>
        </w:rPr>
      </w:pPr>
      <w:bookmarkStart w:id="157" w:name="_Toc15396629"/>
      <w:bookmarkStart w:id="158" w:name="_Toc13606"/>
      <w:bookmarkStart w:id="159" w:name="_Toc6944"/>
      <w:bookmarkStart w:id="160" w:name="_Toc25136"/>
      <w:r>
        <w:rPr>
          <w:rStyle w:val="25"/>
          <w:rFonts w:hint="eastAsia" w:ascii="仿宋" w:hAnsi="仿宋" w:eastAsia="仿宋"/>
          <w:b w:val="0"/>
          <w:bCs w:val="0"/>
          <w:color w:val="auto"/>
          <w:highlight w:val="none"/>
        </w:rPr>
        <w:t>十一、</w:t>
      </w:r>
      <w:bookmarkEnd w:id="157"/>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58"/>
      <w:bookmarkEnd w:id="159"/>
      <w:bookmarkEnd w:id="160"/>
    </w:p>
    <w:p>
      <w:pPr>
        <w:pStyle w:val="4"/>
        <w:rPr>
          <w:rFonts w:ascii="仿宋" w:hAnsi="仿宋" w:eastAsia="仿宋"/>
          <w:color w:val="auto"/>
          <w:highlight w:val="none"/>
        </w:rPr>
      </w:pPr>
      <w:bookmarkStart w:id="161" w:name="_Toc15396630"/>
      <w:bookmarkStart w:id="162" w:name="_Toc1500"/>
      <w:bookmarkStart w:id="163" w:name="_Toc18485"/>
      <w:bookmarkStart w:id="164" w:name="_Toc26495"/>
      <w:r>
        <w:rPr>
          <w:rStyle w:val="25"/>
          <w:rFonts w:hint="eastAsia" w:ascii="仿宋" w:hAnsi="仿宋" w:eastAsia="仿宋"/>
          <w:b w:val="0"/>
          <w:bCs w:val="0"/>
          <w:color w:val="auto"/>
          <w:highlight w:val="none"/>
        </w:rPr>
        <w:t>十二、</w:t>
      </w:r>
      <w:bookmarkEnd w:id="161"/>
      <w:r>
        <w:rPr>
          <w:rStyle w:val="25"/>
          <w:rFonts w:hint="eastAsia" w:ascii="仿宋" w:hAnsi="仿宋" w:eastAsia="仿宋"/>
          <w:b w:val="0"/>
          <w:bCs w:val="0"/>
          <w:color w:val="auto"/>
          <w:highlight w:val="none"/>
          <w:lang w:eastAsia="zh-CN"/>
        </w:rPr>
        <w:t>国有资本经营预算财政拨款支出决算表</w:t>
      </w:r>
      <w:bookmarkEnd w:id="162"/>
      <w:bookmarkEnd w:id="163"/>
      <w:bookmarkEnd w:id="164"/>
    </w:p>
    <w:p>
      <w:pPr>
        <w:pStyle w:val="4"/>
        <w:rPr>
          <w:rFonts w:hint="eastAsia" w:eastAsia="仿宋"/>
          <w:color w:val="auto"/>
          <w:highlight w:val="none"/>
          <w:lang w:eastAsia="zh-CN"/>
        </w:rPr>
      </w:pPr>
      <w:bookmarkStart w:id="165" w:name="_Toc15396631"/>
      <w:bookmarkStart w:id="166" w:name="_Toc31820"/>
      <w:bookmarkStart w:id="167" w:name="_Toc17251"/>
      <w:bookmarkStart w:id="168" w:name="_Toc12397"/>
      <w:r>
        <w:rPr>
          <w:rStyle w:val="25"/>
          <w:rFonts w:hint="eastAsia" w:ascii="仿宋" w:hAnsi="仿宋" w:eastAsia="仿宋"/>
          <w:b w:val="0"/>
          <w:bCs w:val="0"/>
          <w:color w:val="auto"/>
          <w:highlight w:val="none"/>
        </w:rPr>
        <w:t>十三、</w:t>
      </w:r>
      <w:bookmarkEnd w:id="165"/>
      <w:r>
        <w:rPr>
          <w:rStyle w:val="25"/>
          <w:rFonts w:hint="eastAsia" w:ascii="仿宋" w:hAnsi="仿宋" w:eastAsia="仿宋"/>
          <w:b w:val="0"/>
          <w:bCs w:val="0"/>
          <w:color w:val="auto"/>
          <w:highlight w:val="none"/>
          <w:lang w:eastAsia="zh-CN"/>
        </w:rPr>
        <w:t>财政拨款“三公”经费支出决算表</w:t>
      </w:r>
      <w:bookmarkEnd w:id="166"/>
      <w:bookmarkEnd w:id="167"/>
      <w:bookmarkEnd w:id="168"/>
    </w:p>
    <w:p>
      <w:pPr>
        <w:pStyle w:val="2"/>
        <w:rPr>
          <w:rFonts w:hint="eastAsia"/>
          <w:lang w:eastAsia="zh-CN"/>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YWZmMjdlMDQzODM2NThkNjlhNWNkZWEwNTU2N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FB2420"/>
    <w:rsid w:val="0A2032A3"/>
    <w:rsid w:val="0AA05E82"/>
    <w:rsid w:val="0AE13A9F"/>
    <w:rsid w:val="0B8A37D8"/>
    <w:rsid w:val="10C055FF"/>
    <w:rsid w:val="118107EC"/>
    <w:rsid w:val="11DD6519"/>
    <w:rsid w:val="16BB723D"/>
    <w:rsid w:val="17800682"/>
    <w:rsid w:val="18015F3F"/>
    <w:rsid w:val="1BE8440E"/>
    <w:rsid w:val="1C0C1961"/>
    <w:rsid w:val="1D155CEE"/>
    <w:rsid w:val="20F57F95"/>
    <w:rsid w:val="240371BF"/>
    <w:rsid w:val="25711CC6"/>
    <w:rsid w:val="25C741E6"/>
    <w:rsid w:val="27842671"/>
    <w:rsid w:val="29FD04D3"/>
    <w:rsid w:val="2ABE7A3E"/>
    <w:rsid w:val="2CA234A8"/>
    <w:rsid w:val="2EFA178C"/>
    <w:rsid w:val="30B46D73"/>
    <w:rsid w:val="319F7F4E"/>
    <w:rsid w:val="337A6DC9"/>
    <w:rsid w:val="383D272C"/>
    <w:rsid w:val="39AE70AB"/>
    <w:rsid w:val="3AF02C0A"/>
    <w:rsid w:val="3C0C0783"/>
    <w:rsid w:val="3F9F3A96"/>
    <w:rsid w:val="461D1E37"/>
    <w:rsid w:val="47C32BE9"/>
    <w:rsid w:val="48BF60AB"/>
    <w:rsid w:val="493C27E9"/>
    <w:rsid w:val="496F39ED"/>
    <w:rsid w:val="49FF41D3"/>
    <w:rsid w:val="4B193361"/>
    <w:rsid w:val="4B2650B6"/>
    <w:rsid w:val="4BE068DB"/>
    <w:rsid w:val="4BF6002B"/>
    <w:rsid w:val="4C4E7368"/>
    <w:rsid w:val="4CAC5CC3"/>
    <w:rsid w:val="4ECE2238"/>
    <w:rsid w:val="501113D1"/>
    <w:rsid w:val="51DB4B86"/>
    <w:rsid w:val="55333C3E"/>
    <w:rsid w:val="5B3B68B4"/>
    <w:rsid w:val="64CA39A1"/>
    <w:rsid w:val="69630ADE"/>
    <w:rsid w:val="6AA778F8"/>
    <w:rsid w:val="6AED1797"/>
    <w:rsid w:val="6C4A05C8"/>
    <w:rsid w:val="6D3B1A89"/>
    <w:rsid w:val="6DB6299D"/>
    <w:rsid w:val="71BF4EC2"/>
    <w:rsid w:val="72734D90"/>
    <w:rsid w:val="73ED5DA0"/>
    <w:rsid w:val="7412278C"/>
    <w:rsid w:val="76DD3A2C"/>
    <w:rsid w:val="785A02D8"/>
    <w:rsid w:val="79E7B28D"/>
    <w:rsid w:val="7A3D499F"/>
    <w:rsid w:val="7BC2251F"/>
    <w:rsid w:val="7C104D9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600" b="1" i="0" u="none" strike="noStrike" baseline="0"/>
              <a:t>图</a:t>
            </a:r>
            <a:r>
              <a:rPr lang="en-US" sz="1600" b="1" i="0" u="none" strike="noStrike" baseline="0"/>
              <a:t>1</a:t>
            </a:r>
            <a:r>
              <a:rPr lang="zh-CN" altLang="en-US" sz="1600" b="1" i="0" u="none" strike="noStrike" baseline="0"/>
              <a:t>：收、支决算总计变动情况图</a:t>
            </a:r>
            <a:endParaRPr lang="zh-CN" altLang="en-US" sz="1600" b="1" i="0" u="none" strike="noStrike" baseline="0"/>
          </a:p>
          <a:p>
            <a:pPr>
              <a:defRPr lang="zh-CN" sz="1400" b="1" i="0" u="none" strike="noStrike" kern="1200" baseline="0">
                <a:solidFill>
                  <a:schemeClr val="tx1"/>
                </a:solidFill>
                <a:latin typeface="+mn-lt"/>
                <a:ea typeface="+mn-ea"/>
                <a:cs typeface="+mn-cs"/>
              </a:defRPr>
            </a:pPr>
            <a:r>
              <a:rPr lang="zh-CN" altLang="en-US" sz="1200" b="1" i="0" u="none" strike="noStrike" baseline="0"/>
              <a:t>（单位：万元）</a:t>
            </a:r>
            <a:endParaRPr lang="zh-CN" altLang="en-US" sz="1200"/>
          </a:p>
        </c:rich>
      </c:tx>
      <c:layout/>
      <c:overlay val="0"/>
    </c:title>
    <c:autoTitleDeleted val="0"/>
    <c:plotArea>
      <c:layout/>
      <c:barChart>
        <c:barDir val="col"/>
        <c:grouping val="clustered"/>
        <c:varyColors val="0"/>
        <c:ser>
          <c:idx val="0"/>
          <c:order val="0"/>
          <c:tx>
            <c:strRef>
              <c:f>Sheet1!$B$1</c:f>
              <c:strCache>
                <c:ptCount val="1"/>
                <c:pt idx="0">
                  <c:v>列1</c:v>
                </c:pt>
              </c:strCache>
            </c:strRef>
          </c:tx>
          <c:invertIfNegative val="0"/>
          <c:dLbls>
            <c:dLbl>
              <c:idx val="0"/>
              <c:layout>
                <c:manualLayout>
                  <c:x val="0.00498442367601246"/>
                  <c:y val="0.0044742729306487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sz="1000" b="0" i="0" u="none" strike="noStrike" baseline="0"/>
                      <a:t>9781.47</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691588785046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9781.47</c:v>
                </c:pt>
                <c:pt idx="1">
                  <c:v>7983.08</c:v>
                </c:pt>
              </c:numCache>
            </c:numRef>
          </c:val>
        </c:ser>
        <c:dLbls>
          <c:showLegendKey val="0"/>
          <c:showVal val="0"/>
          <c:showCatName val="0"/>
          <c:showSerName val="0"/>
          <c:showPercent val="0"/>
          <c:showBubbleSize val="0"/>
        </c:dLbls>
        <c:gapWidth val="150"/>
        <c:axId val="40170624"/>
        <c:axId val="40172160"/>
      </c:barChart>
      <c:catAx>
        <c:axId val="401706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172160"/>
        <c:crosses val="autoZero"/>
        <c:auto val="1"/>
        <c:lblAlgn val="ctr"/>
        <c:lblOffset val="100"/>
        <c:noMultiLvlLbl val="0"/>
      </c:catAx>
      <c:valAx>
        <c:axId val="40172160"/>
        <c:scaling>
          <c:orientation val="minMax"/>
          <c:max val="10000"/>
          <c:min val="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170624"/>
        <c:crosses val="autoZero"/>
        <c:crossBetween val="between"/>
        <c:majorUnit val="2000"/>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b="1" i="0" u="none" strike="noStrike" baseline="0"/>
              <a:t>图</a:t>
            </a:r>
            <a:r>
              <a:rPr lang="en-US" sz="1600" b="1" i="0" u="none" strike="noStrike" baseline="0"/>
              <a:t>2</a:t>
            </a:r>
            <a:r>
              <a:rPr lang="zh-CN" altLang="en-US" sz="1600" b="1" i="0" u="none" strike="noStrike" baseline="0"/>
              <a:t>：收入决算结构图</a:t>
            </a:r>
            <a:r>
              <a:rPr lang="en-US" altLang="zh-CN" sz="1600" b="1" i="0" u="none" strike="noStrike" baseline="0"/>
              <a:t> </a:t>
            </a:r>
            <a:endParaRPr lang="zh-CN" altLang="en-US" sz="1200" b="1" i="0" u="none" strike="noStrike" baseline="0"/>
          </a:p>
        </c:rich>
      </c:tx>
      <c:layout>
        <c:manualLayout>
          <c:xMode val="edge"/>
          <c:yMode val="edge"/>
          <c:x val="0.31189044756179"/>
          <c:y val="0.0285714285714286"/>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经营收入</c:v>
                </c:pt>
                <c:pt idx="2">
                  <c:v>其他收入</c:v>
                </c:pt>
              </c:strCache>
            </c:strRef>
          </c:cat>
          <c:val>
            <c:numRef>
              <c:f>Sheet1!$B$2:$B$4</c:f>
              <c:numCache>
                <c:formatCode>0.00%</c:formatCode>
                <c:ptCount val="3"/>
                <c:pt idx="0">
                  <c:v>0.3813</c:v>
                </c:pt>
                <c:pt idx="1">
                  <c:v>0.6138</c:v>
                </c:pt>
                <c:pt idx="2">
                  <c:v>0.0049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600" b="1" i="0" u="none" strike="noStrike" baseline="0">
                <a:effectLst/>
              </a:rPr>
              <a:t>图</a:t>
            </a:r>
            <a:r>
              <a:rPr lang="en-US" altLang="zh-CN" sz="1600" b="1" i="0" u="none" strike="noStrike" baseline="0">
                <a:effectLst/>
              </a:rPr>
              <a:t>3</a:t>
            </a:r>
            <a:r>
              <a:rPr lang="zh-CN" altLang="zh-CN" sz="1600" b="1" i="0" u="none" strike="noStrike" baseline="0">
                <a:effectLst/>
              </a:rPr>
              <a:t>：支出决算结构图</a:t>
            </a:r>
            <a:endParaRPr lang="zh-CN" altLang="en-US" sz="1600"/>
          </a:p>
        </c:rich>
      </c:tx>
      <c:layout/>
      <c:overlay val="0"/>
    </c:title>
    <c:autoTitleDeleted val="0"/>
    <c:plotArea>
      <c:layout>
        <c:manualLayout>
          <c:layoutTarget val="inner"/>
          <c:xMode val="edge"/>
          <c:yMode val="edge"/>
          <c:x val="0.276686706746827"/>
          <c:y val="0.200404273751083"/>
          <c:w val="0.321309285237141"/>
          <c:h val="0.694484550967369"/>
        </c:manualLayout>
      </c:layout>
      <c:pieChart>
        <c:varyColors val="1"/>
        <c:ser>
          <c:idx val="0"/>
          <c:order val="0"/>
          <c:tx>
            <c:strRef>
              <c:f>Sheet1!$B$1</c:f>
              <c:strCache>
                <c:ptCount val="1"/>
                <c:pt idx="0">
                  <c:v>金额占比</c:v>
                </c:pt>
              </c:strCache>
            </c:strRef>
          </c:tx>
          <c:explosion val="0"/>
          <c:dPt>
            <c:idx val="0"/>
            <c:bubble3D val="0"/>
          </c:dPt>
          <c:dPt>
            <c:idx val="1"/>
            <c:bubble3D val="0"/>
          </c:dPt>
          <c:dPt>
            <c:idx val="2"/>
            <c:bubble3D val="0"/>
          </c:dPt>
          <c:dLbls>
            <c:dLbl>
              <c:idx val="2"/>
              <c:layout>
                <c:manualLayout>
                  <c:x val="0.0746279347797148"/>
                  <c:y val="0.13464654884762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24.3</a:t>
                    </a:r>
                    <a:r>
                      <a:rPr lang="en-US" altLang="zh-CN"/>
                      <a:t>9</a:t>
                    </a:r>
                    <a:r>
                      <a:rPr lang="en-US"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基本支出</c:v>
                </c:pt>
                <c:pt idx="1">
                  <c:v>项目支出</c:v>
                </c:pt>
                <c:pt idx="2">
                  <c:v>经营支出</c:v>
                </c:pt>
              </c:strCache>
            </c:strRef>
          </c:cat>
          <c:val>
            <c:numRef>
              <c:f>Sheet1!$B$2:$B$4</c:f>
              <c:numCache>
                <c:formatCode>0.00%</c:formatCode>
                <c:ptCount val="3"/>
                <c:pt idx="0">
                  <c:v>0.5948</c:v>
                </c:pt>
                <c:pt idx="1">
                  <c:v>0.0021</c:v>
                </c:pt>
                <c:pt idx="2">
                  <c:v>0.4031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600" b="1" i="0" u="none" strike="noStrike" baseline="0">
                <a:effectLst/>
              </a:rPr>
              <a:t>图</a:t>
            </a:r>
            <a:r>
              <a:rPr lang="en-US" altLang="zh-CN" sz="1600" b="1" i="0" u="none" strike="noStrike" baseline="0">
                <a:effectLst/>
              </a:rPr>
              <a:t>4</a:t>
            </a:r>
            <a:r>
              <a:rPr lang="zh-CN" altLang="zh-CN" sz="1600" b="1" i="0" u="none" strike="noStrike" baseline="0">
                <a:effectLst/>
              </a:rPr>
              <a:t>：</a:t>
            </a:r>
            <a:r>
              <a:rPr lang="zh-CN" altLang="zh-CN" sz="1600" b="1" i="0" baseline="0">
                <a:effectLst/>
              </a:rPr>
              <a:t>财政拨款收、支决算总计变动情况</a:t>
            </a:r>
            <a:r>
              <a:rPr lang="en-US" altLang="zh-CN" sz="1800" b="1" i="0" baseline="0">
                <a:effectLst/>
              </a:rPr>
              <a:t> </a:t>
            </a:r>
            <a:endParaRPr lang="en-US" altLang="zh-CN" sz="1800" b="1" i="0" baseline="0">
              <a:effectLst/>
            </a:endParaRPr>
          </a:p>
          <a:p>
            <a:pPr>
              <a:defRPr lang="zh-CN" sz="1800" b="1" i="0" u="none" strike="noStrike" kern="1200" baseline="0">
                <a:solidFill>
                  <a:schemeClr val="tx1"/>
                </a:solidFill>
                <a:latin typeface="+mn-lt"/>
                <a:ea typeface="+mn-ea"/>
                <a:cs typeface="+mn-cs"/>
              </a:defRPr>
            </a:pPr>
            <a:r>
              <a:rPr lang="zh-CN" altLang="zh-CN" sz="1100" b="1" i="0" baseline="0">
                <a:effectLst/>
              </a:rPr>
              <a:t>（单位：万元）</a:t>
            </a:r>
            <a:endParaRPr lang="zh-CN" altLang="zh-CN" sz="1100">
              <a:effectLst/>
            </a:endParaRPr>
          </a:p>
        </c:rich>
      </c:tx>
      <c:layout/>
      <c:overlay val="0"/>
    </c:title>
    <c:autoTitleDeleted val="0"/>
    <c:plotArea>
      <c:layout/>
      <c:barChart>
        <c:barDir val="col"/>
        <c:grouping val="clustered"/>
        <c:varyColors val="0"/>
        <c:ser>
          <c:idx val="0"/>
          <c:order val="0"/>
          <c:tx>
            <c:strRef>
              <c:f>Sheet1!$B$1</c:f>
              <c:strCache>
                <c:ptCount val="1"/>
                <c:pt idx="0">
                  <c:v>收入、支出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5164.49</c:v>
                </c:pt>
                <c:pt idx="1">
                  <c:v>3043.66</c:v>
                </c:pt>
              </c:numCache>
            </c:numRef>
          </c:val>
        </c:ser>
        <c:dLbls>
          <c:showLegendKey val="0"/>
          <c:showVal val="1"/>
          <c:showCatName val="0"/>
          <c:showSerName val="0"/>
          <c:showPercent val="0"/>
          <c:showBubbleSize val="0"/>
        </c:dLbls>
        <c:gapWidth val="150"/>
        <c:overlap val="-25"/>
        <c:axId val="163959936"/>
        <c:axId val="163961472"/>
      </c:barChart>
      <c:catAx>
        <c:axId val="1639599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961472"/>
        <c:crosses val="autoZero"/>
        <c:auto val="1"/>
        <c:lblAlgn val="ctr"/>
        <c:lblOffset val="100"/>
        <c:noMultiLvlLbl val="0"/>
      </c:catAx>
      <c:valAx>
        <c:axId val="163961472"/>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95993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600" b="1" i="0" u="none" strike="noStrike" baseline="0">
                <a:effectLst/>
              </a:rPr>
              <a:t>图</a:t>
            </a:r>
            <a:r>
              <a:rPr lang="en-US" altLang="zh-CN" sz="1600" b="1" i="0" u="none" strike="noStrike" baseline="0">
                <a:effectLst/>
              </a:rPr>
              <a:t>5</a:t>
            </a:r>
            <a:r>
              <a:rPr lang="zh-CN" altLang="zh-CN" sz="1600" b="1" i="0" u="none" strike="noStrike" baseline="0">
                <a:effectLst/>
              </a:rPr>
              <a:t>：一般公共预算财政拨款支出决算变动情况</a:t>
            </a:r>
            <a:r>
              <a:rPr lang="zh-CN" altLang="zh-CN" sz="1100" b="1" i="0" u="none" strike="noStrike" baseline="0">
                <a:effectLst/>
              </a:rPr>
              <a:t>（单位：万元）</a:t>
            </a:r>
            <a:endParaRPr lang="en-US" altLang="zh-CN" sz="1100"/>
          </a:p>
        </c:rich>
      </c:tx>
      <c:layout>
        <c:manualLayout>
          <c:xMode val="edge"/>
          <c:yMode val="edge"/>
          <c:x val="0.106778276847693"/>
          <c:y val="0.0326530612244898"/>
        </c:manualLayout>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5164.49</c:v>
                </c:pt>
                <c:pt idx="1">
                  <c:v>3043.66</c:v>
                </c:pt>
              </c:numCache>
            </c:numRef>
          </c:val>
        </c:ser>
        <c:dLbls>
          <c:showLegendKey val="0"/>
          <c:showVal val="1"/>
          <c:showCatName val="0"/>
          <c:showSerName val="0"/>
          <c:showPercent val="0"/>
          <c:showBubbleSize val="0"/>
        </c:dLbls>
        <c:gapWidth val="150"/>
        <c:overlap val="-25"/>
        <c:axId val="175303680"/>
        <c:axId val="175305472"/>
      </c:barChart>
      <c:catAx>
        <c:axId val="1753036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5305472"/>
        <c:crosses val="autoZero"/>
        <c:auto val="1"/>
        <c:lblAlgn val="ctr"/>
        <c:lblOffset val="100"/>
        <c:noMultiLvlLbl val="0"/>
      </c:catAx>
      <c:valAx>
        <c:axId val="175305472"/>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53036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c:v>
                </c:pt>
                <c:pt idx="1">
                  <c:v>卫生健康支出</c:v>
                </c:pt>
                <c:pt idx="2">
                  <c:v>住房保障支出</c:v>
                </c:pt>
                <c:pt idx="3">
                  <c:v>资源勘探工业信息等支出</c:v>
                </c:pt>
              </c:strCache>
            </c:strRef>
          </c:cat>
          <c:val>
            <c:numRef>
              <c:f>Sheet1!$B$2:$B$5</c:f>
              <c:numCache>
                <c:formatCode>0.00%</c:formatCode>
                <c:ptCount val="4"/>
                <c:pt idx="0">
                  <c:v>0.2745</c:v>
                </c:pt>
                <c:pt idx="1">
                  <c:v>0.0277</c:v>
                </c:pt>
                <c:pt idx="2">
                  <c:v>0.109</c:v>
                </c:pt>
                <c:pt idx="3">
                  <c:v>0.5888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13</Pages>
  <Words>3261</Words>
  <Characters>3696</Characters>
  <Lines>61</Lines>
  <Paragraphs>17</Paragraphs>
  <TotalTime>29</TotalTime>
  <ScaleCrop>false</ScaleCrop>
  <LinksUpToDate>false</LinksUpToDate>
  <CharactersWithSpaces>3805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肖帆</dc:creator>
  <cp:lastModifiedBy>肖帆</cp:lastModifiedBy>
  <cp:lastPrinted>2023-07-31T02:35:00Z</cp:lastPrinted>
  <dcterms:modified xsi:type="dcterms:W3CDTF">2023-09-06T06:49:04Z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58A5A10AD3384A0CBBC5CFF4CD24D980_13</vt:lpwstr>
  </property>
</Properties>
</file>